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8AD4" w14:textId="385F0197" w:rsidR="005E7E1C" w:rsidRDefault="005E7E1C" w:rsidP="007114D4">
      <w:pPr>
        <w:pStyle w:val="BodyText1"/>
      </w:pPr>
    </w:p>
    <w:p w14:paraId="580872A1" w14:textId="2FCCCEA1" w:rsidR="005E7E1C" w:rsidRDefault="00701C9C">
      <w:r w:rsidRPr="00EC0EE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6CF82" wp14:editId="2F371F34">
                <wp:simplePos x="0" y="0"/>
                <wp:positionH relativeFrom="column">
                  <wp:posOffset>510614</wp:posOffset>
                </wp:positionH>
                <wp:positionV relativeFrom="paragraph">
                  <wp:posOffset>564958</wp:posOffset>
                </wp:positionV>
                <wp:extent cx="5295900" cy="3147237"/>
                <wp:effectExtent l="0" t="0" r="0" b="15240"/>
                <wp:wrapNone/>
                <wp:docPr id="83905225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147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CD3D1" w14:textId="25521B1C" w:rsidR="008348FD" w:rsidRPr="00405FB6" w:rsidRDefault="000E1598" w:rsidP="00405FB6">
                            <w:pPr>
                              <w:pStyle w:val="Heading1"/>
                            </w:pPr>
                            <w:r w:rsidRPr="00405FB6">
                              <w:t xml:space="preserve">DCA’s </w:t>
                            </w:r>
                            <w:r w:rsidR="00701C9C" w:rsidRPr="00405FB6">
                              <w:t>202</w:t>
                            </w:r>
                            <w:r w:rsidR="00720B4C" w:rsidRPr="00405FB6">
                              <w:t>6</w:t>
                            </w:r>
                            <w:r w:rsidR="00701C9C" w:rsidRPr="00405FB6">
                              <w:t>-202</w:t>
                            </w:r>
                            <w:r w:rsidR="00720B4C" w:rsidRPr="00405FB6">
                              <w:t>7</w:t>
                            </w:r>
                            <w:r w:rsidR="00701C9C" w:rsidRPr="00405FB6">
                              <w:br/>
                              <w:t>Inclusive Employer Index</w:t>
                            </w:r>
                          </w:p>
                          <w:p w14:paraId="6FA278B1" w14:textId="469E842D" w:rsidR="00701C9C" w:rsidRPr="00FC0DCD" w:rsidRDefault="008348FD" w:rsidP="00405FB6">
                            <w:pPr>
                              <w:pStyle w:val="Heading1"/>
                              <w:rPr>
                                <w:sz w:val="56"/>
                                <w:szCs w:val="56"/>
                              </w:rPr>
                            </w:pPr>
                            <w:r w:rsidRPr="00FC0DCD">
                              <w:rPr>
                                <w:sz w:val="56"/>
                                <w:szCs w:val="56"/>
                              </w:rPr>
                              <w:t>Information Booklet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CF8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.2pt;margin-top:44.5pt;width:417pt;height:2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" filled="f" stroked="f" strokeweight=".5pt">
                <v:textbox inset="0,0,0,0">
                  <w:txbxContent>
                    <w:p w14:paraId="191CD3D1" w14:textId="25521B1C" w:rsidR="008348FD" w:rsidRPr="00405FB6" w:rsidRDefault="000E1598" w:rsidP="00405FB6">
                      <w:pPr>
                        <w:pStyle w:val="Heading1"/>
                      </w:pPr>
                      <w:r w:rsidRPr="00405FB6">
                        <w:t xml:space="preserve">DCA’s </w:t>
                      </w:r>
                      <w:r w:rsidR="00701C9C" w:rsidRPr="00405FB6">
                        <w:t>202</w:t>
                      </w:r>
                      <w:r w:rsidR="00720B4C" w:rsidRPr="00405FB6">
                        <w:t>6</w:t>
                      </w:r>
                      <w:r w:rsidR="00701C9C" w:rsidRPr="00405FB6">
                        <w:t>-202</w:t>
                      </w:r>
                      <w:r w:rsidR="00720B4C" w:rsidRPr="00405FB6">
                        <w:t>7</w:t>
                      </w:r>
                      <w:r w:rsidR="00701C9C" w:rsidRPr="00405FB6">
                        <w:br/>
                        <w:t>Inclusive Employer Index</w:t>
                      </w:r>
                    </w:p>
                    <w:p w14:paraId="6FA278B1" w14:textId="469E842D" w:rsidR="00701C9C" w:rsidRPr="00FC0DCD" w:rsidRDefault="008348FD" w:rsidP="00405FB6">
                      <w:pPr>
                        <w:pStyle w:val="Heading1"/>
                        <w:rPr>
                          <w:sz w:val="56"/>
                          <w:szCs w:val="56"/>
                        </w:rPr>
                      </w:pPr>
                      <w:r w:rsidRPr="00FC0DCD">
                        <w:rPr>
                          <w:sz w:val="56"/>
                          <w:szCs w:val="56"/>
                        </w:rPr>
                        <w:t>Information Booklet</w:t>
                      </w:r>
                    </w:p>
                  </w:txbxContent>
                </v:textbox>
              </v:shape>
            </w:pict>
          </mc:Fallback>
        </mc:AlternateContent>
      </w:r>
      <w:r w:rsidR="005E7E1C">
        <w:br w:type="page"/>
      </w:r>
    </w:p>
    <w:p w14:paraId="4AD65B83" w14:textId="7AF62BD5" w:rsidR="005E7E1C" w:rsidRDefault="005E7E1C" w:rsidP="007114D4">
      <w:pPr>
        <w:pStyle w:val="BodyText1"/>
        <w:sectPr w:rsidR="005E7E1C" w:rsidSect="007025E6">
          <w:headerReference w:type="even" r:id="rId11"/>
          <w:headerReference w:type="default" r:id="rId12"/>
          <w:footerReference w:type="even" r:id="rId13"/>
          <w:headerReference w:type="first" r:id="rId14"/>
          <w:pgSz w:w="11900" w:h="16840"/>
          <w:pgMar w:top="1701" w:right="1191" w:bottom="907" w:left="1021" w:header="794" w:footer="448" w:gutter="0"/>
          <w:pgNumType w:start="1"/>
          <w:cols w:space="720"/>
          <w:docGrid w:linePitch="381"/>
        </w:sectPr>
      </w:pPr>
    </w:p>
    <w:p w14:paraId="57B1AA61" w14:textId="2F95F89A" w:rsidR="008279FD" w:rsidRPr="008279FD" w:rsidRDefault="008279FD" w:rsidP="008279FD">
      <w:pPr>
        <w:pStyle w:val="BodyText1"/>
        <w:rPr>
          <w:szCs w:val="24"/>
          <w:lang w:val="en-AU"/>
        </w:rPr>
      </w:pPr>
      <w:r w:rsidRPr="008279FD">
        <w:rPr>
          <w:szCs w:val="24"/>
          <w:lang w:val="en-AU"/>
        </w:rPr>
        <w:lastRenderedPageBreak/>
        <w:t>Is your organisation as inclusive as you think? Are you unsure where you should focus your diversity and inclusion</w:t>
      </w:r>
      <w:r>
        <w:rPr>
          <w:szCs w:val="24"/>
          <w:lang w:val="en-AU"/>
        </w:rPr>
        <w:t xml:space="preserve"> </w:t>
      </w:r>
      <w:r w:rsidRPr="008279FD">
        <w:rPr>
          <w:szCs w:val="24"/>
          <w:lang w:val="en-AU"/>
        </w:rPr>
        <w:t>(D&amp;I) efforts? Would you like to assess and benchmark the state of inclusion in your workplace?</w:t>
      </w:r>
    </w:p>
    <w:p w14:paraId="63FC70AA" w14:textId="2815F4FC" w:rsidR="008279FD" w:rsidRPr="008279FD" w:rsidRDefault="008279FD" w:rsidP="008279FD">
      <w:pPr>
        <w:pStyle w:val="BodyText1"/>
        <w:rPr>
          <w:b/>
          <w:bCs/>
          <w:szCs w:val="24"/>
          <w:lang w:val="en-AU"/>
        </w:rPr>
      </w:pPr>
      <w:r w:rsidRPr="008279FD">
        <w:rPr>
          <w:szCs w:val="24"/>
          <w:lang w:val="en-AU"/>
        </w:rPr>
        <w:t xml:space="preserve">We invite your organisation to participate in this year’s </w:t>
      </w:r>
      <w:r w:rsidRPr="008279FD">
        <w:rPr>
          <w:b/>
          <w:bCs/>
          <w:szCs w:val="24"/>
          <w:lang w:val="en-AU"/>
        </w:rPr>
        <w:t>Inclusive Employer Index to measure diversity and</w:t>
      </w:r>
      <w:r w:rsidR="00243128">
        <w:rPr>
          <w:b/>
          <w:bCs/>
          <w:szCs w:val="24"/>
          <w:lang w:val="en-AU"/>
        </w:rPr>
        <w:t xml:space="preserve"> </w:t>
      </w:r>
      <w:r w:rsidRPr="008279FD">
        <w:rPr>
          <w:b/>
          <w:bCs/>
          <w:szCs w:val="24"/>
          <w:lang w:val="en-AU"/>
        </w:rPr>
        <w:t>inclusion in your workplace.</w:t>
      </w:r>
    </w:p>
    <w:p w14:paraId="667B05EB" w14:textId="77777777" w:rsidR="008279FD" w:rsidRPr="008279FD" w:rsidRDefault="008279FD" w:rsidP="003A11C6">
      <w:pPr>
        <w:pStyle w:val="Heading2"/>
        <w:rPr>
          <w:lang w:val="en-AU"/>
        </w:rPr>
      </w:pPr>
      <w:r w:rsidRPr="008279FD">
        <w:rPr>
          <w:lang w:val="en-AU"/>
        </w:rPr>
        <w:t>Benefits of participating</w:t>
      </w:r>
    </w:p>
    <w:p w14:paraId="189EF23F" w14:textId="3120087B" w:rsidR="008279FD" w:rsidRPr="008279FD" w:rsidRDefault="008279FD" w:rsidP="003A11C6">
      <w:pPr>
        <w:pStyle w:val="Heading3"/>
        <w:spacing w:after="240"/>
        <w:rPr>
          <w:lang w:val="en-AU"/>
        </w:rPr>
      </w:pPr>
      <w:r w:rsidRPr="008279FD">
        <w:rPr>
          <w:lang w:val="en-AU"/>
        </w:rPr>
        <w:t xml:space="preserve">Diagnostic </w:t>
      </w:r>
      <w:r w:rsidR="00243128">
        <w:rPr>
          <w:lang w:val="en-AU"/>
        </w:rPr>
        <w:t>b</w:t>
      </w:r>
      <w:r w:rsidRPr="008279FD">
        <w:rPr>
          <w:lang w:val="en-AU"/>
        </w:rPr>
        <w:t>enefits</w:t>
      </w:r>
    </w:p>
    <w:p w14:paraId="7ABC8BDF" w14:textId="40F7F0DA" w:rsidR="008279FD" w:rsidRPr="008279FD" w:rsidRDefault="008279FD" w:rsidP="008279FD">
      <w:pPr>
        <w:pStyle w:val="BodyText1"/>
        <w:rPr>
          <w:szCs w:val="24"/>
          <w:lang w:val="en-AU"/>
        </w:rPr>
      </w:pPr>
      <w:r w:rsidRPr="008279FD">
        <w:rPr>
          <w:szCs w:val="24"/>
          <w:lang w:val="en-AU"/>
        </w:rPr>
        <w:t>By taking part in the Index, you will have the opportunity to measure diversity and inclusion in your workforce,</w:t>
      </w:r>
      <w:r w:rsidR="00DB6399">
        <w:rPr>
          <w:szCs w:val="24"/>
          <w:lang w:val="en-AU"/>
        </w:rPr>
        <w:t xml:space="preserve"> </w:t>
      </w:r>
      <w:r w:rsidRPr="008279FD">
        <w:rPr>
          <w:szCs w:val="24"/>
          <w:lang w:val="en-AU"/>
        </w:rPr>
        <w:t>understand the impact of inclusion, and take a data-driven approach in determining where to focus your D&amp;I efforts.</w:t>
      </w:r>
    </w:p>
    <w:p w14:paraId="2E4EE20C" w14:textId="77777777" w:rsidR="008279FD" w:rsidRPr="008279FD" w:rsidRDefault="008279FD" w:rsidP="008279FD">
      <w:pPr>
        <w:pStyle w:val="BodyText1"/>
        <w:rPr>
          <w:szCs w:val="24"/>
          <w:lang w:val="en-AU"/>
        </w:rPr>
      </w:pPr>
      <w:r w:rsidRPr="008279FD">
        <w:rPr>
          <w:szCs w:val="24"/>
          <w:lang w:val="en-AU"/>
        </w:rPr>
        <w:t>Specifically, you will access data points for the:</w:t>
      </w:r>
    </w:p>
    <w:p w14:paraId="2342BFE7" w14:textId="6F8B0049" w:rsidR="008279FD" w:rsidRPr="008279FD" w:rsidRDefault="008279FD" w:rsidP="006F2945">
      <w:pPr>
        <w:pStyle w:val="ListNumber"/>
        <w:numPr>
          <w:ilvl w:val="0"/>
          <w:numId w:val="17"/>
        </w:numPr>
        <w:rPr>
          <w:lang w:val="en-AU"/>
        </w:rPr>
      </w:pPr>
      <w:r w:rsidRPr="008279FD">
        <w:rPr>
          <w:b/>
          <w:bCs/>
          <w:lang w:val="en-AU"/>
        </w:rPr>
        <w:t xml:space="preserve">diversity </w:t>
      </w:r>
      <w:r w:rsidRPr="008279FD">
        <w:rPr>
          <w:lang w:val="en-AU"/>
        </w:rPr>
        <w:t xml:space="preserve">of your workforce across </w:t>
      </w:r>
      <w:proofErr w:type="gramStart"/>
      <w:r w:rsidRPr="008279FD">
        <w:rPr>
          <w:lang w:val="en-AU"/>
        </w:rPr>
        <w:t>a number of</w:t>
      </w:r>
      <w:proofErr w:type="gramEnd"/>
      <w:r w:rsidRPr="008279FD">
        <w:rPr>
          <w:lang w:val="en-AU"/>
        </w:rPr>
        <w:t xml:space="preserve"> measures</w:t>
      </w:r>
    </w:p>
    <w:p w14:paraId="52C8B6B7" w14:textId="4296D5AC" w:rsidR="008279FD" w:rsidRPr="008279FD" w:rsidRDefault="008279FD" w:rsidP="006F2945">
      <w:pPr>
        <w:pStyle w:val="ListNumber"/>
        <w:numPr>
          <w:ilvl w:val="0"/>
          <w:numId w:val="17"/>
        </w:numPr>
        <w:rPr>
          <w:lang w:val="en-AU"/>
        </w:rPr>
      </w:pPr>
      <w:r w:rsidRPr="008279FD">
        <w:rPr>
          <w:b/>
          <w:bCs/>
          <w:lang w:val="en-AU"/>
        </w:rPr>
        <w:t xml:space="preserve">workplace inclusion and exclusion </w:t>
      </w:r>
      <w:r w:rsidRPr="008279FD">
        <w:rPr>
          <w:lang w:val="en-AU"/>
        </w:rPr>
        <w:t>experiences of your employees, including across different demographics</w:t>
      </w:r>
    </w:p>
    <w:p w14:paraId="49EE2556" w14:textId="77777777" w:rsidR="006F2945" w:rsidRDefault="008279FD" w:rsidP="008279FD">
      <w:pPr>
        <w:pStyle w:val="ListNumber"/>
        <w:numPr>
          <w:ilvl w:val="0"/>
          <w:numId w:val="17"/>
        </w:numPr>
        <w:rPr>
          <w:lang w:val="en-AU"/>
        </w:rPr>
      </w:pPr>
      <w:r w:rsidRPr="008279FD">
        <w:rPr>
          <w:b/>
          <w:bCs/>
          <w:lang w:val="en-AU"/>
        </w:rPr>
        <w:t xml:space="preserve">impact of workplace inclusion </w:t>
      </w:r>
      <w:r w:rsidRPr="008279FD">
        <w:rPr>
          <w:lang w:val="en-AU"/>
        </w:rPr>
        <w:t>on team and employee outcomes</w:t>
      </w:r>
    </w:p>
    <w:p w14:paraId="12845FDD" w14:textId="5C2D1E3E" w:rsidR="008279FD" w:rsidRPr="006F2945" w:rsidRDefault="00DB6399" w:rsidP="008279FD">
      <w:pPr>
        <w:pStyle w:val="ListNumber"/>
        <w:numPr>
          <w:ilvl w:val="0"/>
          <w:numId w:val="17"/>
        </w:numPr>
        <w:rPr>
          <w:lang w:val="en-AU"/>
        </w:rPr>
      </w:pPr>
      <w:r w:rsidRPr="006F2945">
        <w:rPr>
          <w:lang w:val="en-AU"/>
        </w:rPr>
        <w:t>5</w:t>
      </w:r>
      <w:r w:rsidR="008279FD" w:rsidRPr="006F2945">
        <w:rPr>
          <w:lang w:val="en-AU"/>
        </w:rPr>
        <w:t xml:space="preserve"> survey questions required for any organisation applying for the </w:t>
      </w:r>
      <w:hyperlink r:id="rId15" w:history="1">
        <w:r w:rsidR="008279FD" w:rsidRPr="006F2945">
          <w:rPr>
            <w:rStyle w:val="Hyperlink"/>
            <w:rFonts w:ascii="Arial" w:hAnsi="Arial"/>
            <w:b/>
            <w:bCs/>
            <w:sz w:val="24"/>
            <w:lang w:val="en-AU"/>
          </w:rPr>
          <w:t>Workplace Gender E</w:t>
        </w:r>
        <w:r w:rsidRPr="006F2945">
          <w:rPr>
            <w:rStyle w:val="Hyperlink"/>
            <w:rFonts w:ascii="Arial" w:hAnsi="Arial"/>
            <w:b/>
            <w:bCs/>
            <w:sz w:val="24"/>
            <w:lang w:val="en-AU"/>
          </w:rPr>
          <w:t>q</w:t>
        </w:r>
        <w:r w:rsidR="008279FD" w:rsidRPr="006F2945">
          <w:rPr>
            <w:rStyle w:val="Hyperlink"/>
            <w:rFonts w:ascii="Arial" w:hAnsi="Arial"/>
            <w:b/>
            <w:bCs/>
            <w:sz w:val="24"/>
            <w:lang w:val="en-AU"/>
          </w:rPr>
          <w:t>uality Agency’s Employer</w:t>
        </w:r>
        <w:r w:rsidRPr="006F2945">
          <w:rPr>
            <w:rStyle w:val="Hyperlink"/>
            <w:rFonts w:ascii="Arial" w:hAnsi="Arial"/>
            <w:b/>
            <w:bCs/>
            <w:sz w:val="24"/>
            <w:lang w:val="en-AU"/>
          </w:rPr>
          <w:t xml:space="preserve"> </w:t>
        </w:r>
        <w:r w:rsidR="008279FD" w:rsidRPr="006F2945">
          <w:rPr>
            <w:rStyle w:val="Hyperlink"/>
            <w:rFonts w:ascii="Arial" w:hAnsi="Arial"/>
            <w:b/>
            <w:bCs/>
            <w:sz w:val="24"/>
            <w:szCs w:val="24"/>
            <w:lang w:val="en-AU"/>
          </w:rPr>
          <w:t>of Choice for Gender Equality</w:t>
        </w:r>
      </w:hyperlink>
      <w:r w:rsidR="008279FD" w:rsidRPr="006F2945">
        <w:rPr>
          <w:szCs w:val="24"/>
          <w:lang w:val="en-AU"/>
        </w:rPr>
        <w:t xml:space="preserve"> </w:t>
      </w:r>
      <w:r w:rsidRPr="006F2945">
        <w:rPr>
          <w:szCs w:val="24"/>
          <w:lang w:val="en-AU"/>
        </w:rPr>
        <w:t>(or Employer Committed to Gender Equality) c</w:t>
      </w:r>
      <w:r w:rsidR="008279FD" w:rsidRPr="006F2945">
        <w:rPr>
          <w:szCs w:val="24"/>
          <w:lang w:val="en-AU"/>
        </w:rPr>
        <w:t>itation.</w:t>
      </w:r>
    </w:p>
    <w:p w14:paraId="5E4164F0" w14:textId="43CBEFD2" w:rsidR="008279FD" w:rsidRPr="008279FD" w:rsidRDefault="008279FD" w:rsidP="008279FD">
      <w:pPr>
        <w:pStyle w:val="BodyText1"/>
        <w:rPr>
          <w:szCs w:val="24"/>
          <w:lang w:val="en-AU"/>
        </w:rPr>
      </w:pPr>
      <w:r w:rsidRPr="008279FD">
        <w:rPr>
          <w:szCs w:val="24"/>
          <w:lang w:val="en-AU"/>
        </w:rPr>
        <w:t>Participation also includes access to benchmarks to compare your diversity and inclusion results with a DCA Member</w:t>
      </w:r>
      <w:r w:rsidR="00DB6399">
        <w:rPr>
          <w:szCs w:val="24"/>
          <w:lang w:val="en-AU"/>
        </w:rPr>
        <w:t xml:space="preserve"> </w:t>
      </w:r>
      <w:r w:rsidRPr="008279FD">
        <w:rPr>
          <w:szCs w:val="24"/>
          <w:lang w:val="en-AU"/>
        </w:rPr>
        <w:t>Benchmark, and an Australian Workforce Benchmark, derived from a nationally representative survey of 3000 workers</w:t>
      </w:r>
      <w:r w:rsidR="00DB6399">
        <w:rPr>
          <w:szCs w:val="24"/>
          <w:lang w:val="en-AU"/>
        </w:rPr>
        <w:t xml:space="preserve"> </w:t>
      </w:r>
      <w:r w:rsidRPr="008279FD">
        <w:rPr>
          <w:szCs w:val="24"/>
          <w:lang w:val="en-AU"/>
        </w:rPr>
        <w:t>in Australia.</w:t>
      </w:r>
    </w:p>
    <w:p w14:paraId="0DCA2554" w14:textId="605CD933" w:rsidR="008279FD" w:rsidRPr="008279FD" w:rsidRDefault="3B137133" w:rsidP="00216A09">
      <w:pPr>
        <w:pStyle w:val="Heading3"/>
        <w:spacing w:before="360" w:after="240"/>
        <w:rPr>
          <w:lang w:val="en-AU"/>
        </w:rPr>
      </w:pPr>
      <w:r w:rsidRPr="3B137133">
        <w:rPr>
          <w:lang w:val="en-AU"/>
        </w:rPr>
        <w:t xml:space="preserve">Branding benefits: Profiling as an </w:t>
      </w:r>
      <w:r w:rsidRPr="3B137133">
        <w:rPr>
          <w:i/>
          <w:iCs/>
          <w:lang w:val="en-AU"/>
        </w:rPr>
        <w:t>Inclusive Employer 2026-2027</w:t>
      </w:r>
    </w:p>
    <w:p w14:paraId="1E25B7E4" w14:textId="139D498C" w:rsidR="008279FD" w:rsidRPr="008279FD" w:rsidRDefault="3B137133" w:rsidP="3B137133">
      <w:pPr>
        <w:pStyle w:val="BodyText1"/>
        <w:rPr>
          <w:b/>
          <w:bCs/>
          <w:i/>
          <w:iCs/>
          <w:lang w:val="en-AU"/>
        </w:rPr>
      </w:pPr>
      <w:r w:rsidRPr="3B137133">
        <w:rPr>
          <w:lang w:val="en-AU"/>
        </w:rPr>
        <w:t xml:space="preserve">Organisations that participate in the Inclusive Employer Index are eligible to be assessed as an </w:t>
      </w:r>
      <w:r w:rsidRPr="3B137133">
        <w:rPr>
          <w:i/>
          <w:iCs/>
          <w:lang w:val="en-AU"/>
        </w:rPr>
        <w:t>Inclusive Employer 2026-2027</w:t>
      </w:r>
      <w:r w:rsidRPr="3B137133">
        <w:rPr>
          <w:lang w:val="en-AU"/>
        </w:rPr>
        <w:t>. Organisations deemed Inclusive Employers will be publicly promoted by DCA on its website and able</w:t>
      </w:r>
      <w:r w:rsidRPr="3B137133">
        <w:rPr>
          <w:i/>
          <w:iCs/>
          <w:lang w:val="en-AU"/>
        </w:rPr>
        <w:t xml:space="preserve"> </w:t>
      </w:r>
      <w:r w:rsidRPr="3B137133">
        <w:rPr>
          <w:lang w:val="en-AU"/>
        </w:rPr>
        <w:t xml:space="preserve">to use associated communications and materials (e.g. email signature logos, social media tiles, etc.). See </w:t>
      </w:r>
      <w:hyperlink r:id="rId16">
        <w:r w:rsidRPr="3B137133">
          <w:rPr>
            <w:rStyle w:val="Hyperlink"/>
            <w:rFonts w:ascii="Arial" w:hAnsi="Arial"/>
            <w:b/>
            <w:bCs/>
            <w:sz w:val="24"/>
            <w:szCs w:val="24"/>
            <w:lang w:val="en-AU"/>
          </w:rPr>
          <w:t>our list</w:t>
        </w:r>
        <w:r w:rsidRPr="3B137133">
          <w:rPr>
            <w:rStyle w:val="Hyperlink"/>
            <w:rFonts w:ascii="Arial" w:hAnsi="Arial"/>
            <w:b/>
            <w:bCs/>
            <w:i/>
            <w:iCs/>
            <w:sz w:val="24"/>
            <w:szCs w:val="24"/>
            <w:lang w:val="en-AU"/>
          </w:rPr>
          <w:t xml:space="preserve"> </w:t>
        </w:r>
        <w:r w:rsidRPr="3B137133">
          <w:rPr>
            <w:rStyle w:val="Hyperlink"/>
            <w:rFonts w:ascii="Arial" w:hAnsi="Arial"/>
            <w:b/>
            <w:bCs/>
            <w:sz w:val="24"/>
            <w:szCs w:val="24"/>
            <w:lang w:val="en-AU"/>
          </w:rPr>
          <w:t>of current and past Inclusive Employers</w:t>
        </w:r>
      </w:hyperlink>
      <w:r w:rsidRPr="3B137133">
        <w:rPr>
          <w:b/>
          <w:bCs/>
          <w:lang w:val="en-AU"/>
        </w:rPr>
        <w:t>.</w:t>
      </w:r>
    </w:p>
    <w:p w14:paraId="280C6C30" w14:textId="77777777" w:rsidR="008279FD" w:rsidRPr="008279FD" w:rsidRDefault="008279FD" w:rsidP="00216A09">
      <w:pPr>
        <w:pStyle w:val="Heading3"/>
        <w:spacing w:before="360" w:after="240"/>
        <w:rPr>
          <w:lang w:val="en-AU"/>
        </w:rPr>
      </w:pPr>
      <w:r w:rsidRPr="008279FD">
        <w:rPr>
          <w:lang w:val="en-AU"/>
        </w:rPr>
        <w:t>Can we participate if we are just starting on our Diversity &amp; Inclusion journey?</w:t>
      </w:r>
    </w:p>
    <w:p w14:paraId="4955927E" w14:textId="6042BCFE" w:rsidR="0091215B" w:rsidRDefault="3B137133" w:rsidP="3B137133">
      <w:pPr>
        <w:pStyle w:val="BodyText1"/>
        <w:rPr>
          <w:lang w:val="en-AU"/>
        </w:rPr>
      </w:pPr>
      <w:r w:rsidRPr="3B137133">
        <w:rPr>
          <w:lang w:val="en-AU"/>
        </w:rPr>
        <w:t xml:space="preserve">The Inclusive Employer Index is designed to be a diagnostic tool for organisations to map, track and </w:t>
      </w:r>
      <w:proofErr w:type="gramStart"/>
      <w:r w:rsidRPr="3B137133">
        <w:rPr>
          <w:lang w:val="en-AU"/>
        </w:rPr>
        <w:t>take action</w:t>
      </w:r>
      <w:proofErr w:type="gramEnd"/>
      <w:r w:rsidRPr="3B137133">
        <w:rPr>
          <w:lang w:val="en-AU"/>
        </w:rPr>
        <w:t xml:space="preserve"> on, no matter where they are in their D&amp;I journey.</w:t>
      </w:r>
    </w:p>
    <w:p w14:paraId="7B59410C" w14:textId="77777777" w:rsidR="0091215B" w:rsidRDefault="0091215B">
      <w:pPr>
        <w:rPr>
          <w:sz w:val="24"/>
          <w:szCs w:val="24"/>
          <w:lang w:val="en-AU"/>
        </w:rPr>
      </w:pPr>
      <w:r>
        <w:rPr>
          <w:szCs w:val="24"/>
          <w:lang w:val="en-AU"/>
        </w:rPr>
        <w:br w:type="page"/>
      </w:r>
    </w:p>
    <w:p w14:paraId="12B90D5F" w14:textId="0F1A92BF" w:rsidR="007114D4" w:rsidRDefault="00902CD6" w:rsidP="003A11C6">
      <w:pPr>
        <w:pStyle w:val="Heading2"/>
        <w:rPr>
          <w:lang w:val="en-AU"/>
        </w:rPr>
      </w:pPr>
      <w:r>
        <w:rPr>
          <w:lang w:val="en-AU"/>
        </w:rPr>
        <w:lastRenderedPageBreak/>
        <w:t>Survey content</w:t>
      </w:r>
    </w:p>
    <w:p w14:paraId="066D34A5" w14:textId="49C6515A" w:rsidR="00902CD6" w:rsidRDefault="00902CD6" w:rsidP="003A11C6">
      <w:pPr>
        <w:pStyle w:val="Heading3"/>
        <w:spacing w:after="240"/>
        <w:rPr>
          <w:lang w:val="en-AU"/>
        </w:rPr>
      </w:pPr>
      <w:r>
        <w:rPr>
          <w:lang w:val="en-AU"/>
        </w:rPr>
        <w:t>What do the Index survey questions cover?</w:t>
      </w:r>
    </w:p>
    <w:p w14:paraId="3C521A72" w14:textId="52F77CF2" w:rsidR="00902CD6" w:rsidRPr="00902CD6" w:rsidRDefault="00902CD6" w:rsidP="00902CD6">
      <w:pPr>
        <w:pStyle w:val="BodyText1"/>
        <w:rPr>
          <w:lang w:val="en-AU"/>
        </w:rPr>
      </w:pPr>
      <w:r w:rsidRPr="00902CD6">
        <w:rPr>
          <w:lang w:val="en-AU"/>
        </w:rPr>
        <w:t xml:space="preserve">The survey has been developed and refined over </w:t>
      </w:r>
      <w:r w:rsidR="00C65709">
        <w:rPr>
          <w:lang w:val="en-AU"/>
        </w:rPr>
        <w:t>6</w:t>
      </w:r>
      <w:r w:rsidRPr="00902CD6">
        <w:rPr>
          <w:lang w:val="en-AU"/>
        </w:rPr>
        <w:t xml:space="preserve"> iterations in consultation with an expert panel of practitioners</w:t>
      </w:r>
      <w:r>
        <w:rPr>
          <w:lang w:val="en-AU"/>
        </w:rPr>
        <w:t xml:space="preserve"> </w:t>
      </w:r>
      <w:r w:rsidRPr="00902CD6">
        <w:rPr>
          <w:lang w:val="en-AU"/>
        </w:rPr>
        <w:t>and academics, and covers three broad areas:</w:t>
      </w:r>
    </w:p>
    <w:p w14:paraId="74243899" w14:textId="57603318" w:rsidR="00902CD6" w:rsidRPr="006F2945" w:rsidRDefault="00902CD6" w:rsidP="006F2945">
      <w:pPr>
        <w:pStyle w:val="ListNumber"/>
        <w:numPr>
          <w:ilvl w:val="0"/>
          <w:numId w:val="18"/>
        </w:numPr>
      </w:pPr>
      <w:r w:rsidRPr="006F2945">
        <w:rPr>
          <w:b/>
          <w:bCs/>
        </w:rPr>
        <w:t>Experience of workplace inclusion and exclusion:</w:t>
      </w:r>
      <w:r w:rsidRPr="006F2945">
        <w:t xml:space="preserve"> including inclusion within an immediate team, with managers, and within the inclusive </w:t>
      </w:r>
      <w:proofErr w:type="spellStart"/>
      <w:r w:rsidRPr="006F2945">
        <w:t>organisational</w:t>
      </w:r>
      <w:proofErr w:type="spellEnd"/>
      <w:r w:rsidRPr="006F2945">
        <w:t xml:space="preserve"> climate, as well as inclusive </w:t>
      </w:r>
      <w:proofErr w:type="spellStart"/>
      <w:r w:rsidRPr="006F2945">
        <w:t>behaviours</w:t>
      </w:r>
      <w:proofErr w:type="spellEnd"/>
      <w:r w:rsidRPr="006F2945">
        <w:t xml:space="preserve">, exclusionary </w:t>
      </w:r>
      <w:proofErr w:type="spellStart"/>
      <w:r w:rsidRPr="006F2945">
        <w:t>behaviours</w:t>
      </w:r>
      <w:proofErr w:type="spellEnd"/>
      <w:r w:rsidRPr="006F2945">
        <w:t xml:space="preserve">, and employee awareness and support of </w:t>
      </w:r>
      <w:proofErr w:type="spellStart"/>
      <w:r w:rsidRPr="006F2945">
        <w:t>organisational</w:t>
      </w:r>
      <w:proofErr w:type="spellEnd"/>
      <w:r w:rsidRPr="006F2945">
        <w:t xml:space="preserve"> D&amp;I activity.</w:t>
      </w:r>
    </w:p>
    <w:p w14:paraId="1EAB7507" w14:textId="283F1119" w:rsidR="00902CD6" w:rsidRPr="006F2945" w:rsidRDefault="00902CD6" w:rsidP="006F2945">
      <w:pPr>
        <w:pStyle w:val="ListNumber"/>
        <w:numPr>
          <w:ilvl w:val="0"/>
          <w:numId w:val="18"/>
        </w:numPr>
      </w:pPr>
      <w:r w:rsidRPr="006F2945">
        <w:rPr>
          <w:b/>
          <w:bCs/>
        </w:rPr>
        <w:t>Diversity:</w:t>
      </w:r>
      <w:r w:rsidRPr="006F2945">
        <w:t xml:space="preserve"> including Aboriginal and/or Torres Strait Islander background, age, caring responsibilities, country of birth, cultural background, disability status, gender identity, multilingual ability, religious affiliation, and sexual orientation.</w:t>
      </w:r>
    </w:p>
    <w:p w14:paraId="2FB67445" w14:textId="1E7E3E6C" w:rsidR="00902CD6" w:rsidRPr="006F2945" w:rsidRDefault="00902CD6" w:rsidP="006F2945">
      <w:pPr>
        <w:pStyle w:val="ListNumber"/>
        <w:numPr>
          <w:ilvl w:val="0"/>
          <w:numId w:val="18"/>
        </w:numPr>
      </w:pPr>
      <w:r w:rsidRPr="006F2945">
        <w:rPr>
          <w:b/>
          <w:bCs/>
        </w:rPr>
        <w:t>Impact of inclusion</w:t>
      </w:r>
      <w:r w:rsidRPr="006F2945">
        <w:t>: across team effectiveness, innovation, customer service, discretionary effort, job satisfaction, and turnover intentions. The results of these questions are used to build a business case for D&amp;I in your organisation.</w:t>
      </w:r>
    </w:p>
    <w:p w14:paraId="05975882" w14:textId="77777777" w:rsidR="00902CD6" w:rsidRPr="00902CD6" w:rsidRDefault="00902CD6" w:rsidP="003A11C6">
      <w:pPr>
        <w:pStyle w:val="Heading3"/>
        <w:spacing w:before="360" w:after="240"/>
        <w:rPr>
          <w:lang w:val="en-AU"/>
        </w:rPr>
      </w:pPr>
      <w:r w:rsidRPr="00902CD6">
        <w:rPr>
          <w:lang w:val="en-AU"/>
        </w:rPr>
        <w:t>Can we access a copy of the full survey?</w:t>
      </w:r>
    </w:p>
    <w:p w14:paraId="244955CD" w14:textId="07B3BA2C" w:rsidR="00902CD6" w:rsidRDefault="00902CD6" w:rsidP="00902CD6">
      <w:pPr>
        <w:pStyle w:val="BodyText1"/>
        <w:rPr>
          <w:lang w:val="en-AU"/>
        </w:rPr>
      </w:pPr>
      <w:r w:rsidRPr="00902CD6">
        <w:rPr>
          <w:lang w:val="en-AU"/>
        </w:rPr>
        <w:t xml:space="preserve">For intellectual property reasons, DCA </w:t>
      </w:r>
      <w:proofErr w:type="gramStart"/>
      <w:r w:rsidRPr="00902CD6">
        <w:rPr>
          <w:lang w:val="en-AU"/>
        </w:rPr>
        <w:t>is not able to</w:t>
      </w:r>
      <w:proofErr w:type="gramEnd"/>
      <w:r w:rsidRPr="00902CD6">
        <w:rPr>
          <w:lang w:val="en-AU"/>
        </w:rPr>
        <w:t xml:space="preserve"> share the full survey. However, DCA members can get a</w:t>
      </w:r>
      <w:r w:rsidR="00607A5D">
        <w:rPr>
          <w:lang w:val="en-AU"/>
        </w:rPr>
        <w:t xml:space="preserve"> </w:t>
      </w:r>
      <w:r w:rsidRPr="00902CD6">
        <w:rPr>
          <w:lang w:val="en-AU"/>
        </w:rPr>
        <w:t xml:space="preserve">feel for the type of questions asked from our </w:t>
      </w:r>
      <w:hyperlink r:id="rId17" w:history="1">
        <w:r w:rsidRPr="00607A5D">
          <w:rPr>
            <w:rStyle w:val="Hyperlink"/>
            <w:rFonts w:ascii="Arial" w:hAnsi="Arial"/>
            <w:b/>
            <w:bCs/>
            <w:sz w:val="24"/>
            <w:lang w:val="en-AU"/>
          </w:rPr>
          <w:t>Inclusion@Work research</w:t>
        </w:r>
      </w:hyperlink>
      <w:r w:rsidRPr="00902CD6">
        <w:rPr>
          <w:lang w:val="en-AU"/>
        </w:rPr>
        <w:t xml:space="preserve"> series that uses the same survey</w:t>
      </w:r>
      <w:r w:rsidR="00607A5D">
        <w:rPr>
          <w:lang w:val="en-AU"/>
        </w:rPr>
        <w:t xml:space="preserve"> </w:t>
      </w:r>
      <w:r w:rsidRPr="00902CD6">
        <w:rPr>
          <w:lang w:val="en-AU"/>
        </w:rPr>
        <w:t>questions.</w:t>
      </w:r>
    </w:p>
    <w:p w14:paraId="4FD4737F" w14:textId="17AECD18" w:rsidR="00607A5D" w:rsidRDefault="00607A5D" w:rsidP="003A11C6">
      <w:pPr>
        <w:pStyle w:val="Heading2"/>
        <w:rPr>
          <w:lang w:val="en-AU"/>
        </w:rPr>
      </w:pPr>
      <w:r>
        <w:rPr>
          <w:lang w:val="en-AU"/>
        </w:rPr>
        <w:t>Survey findings/results</w:t>
      </w:r>
    </w:p>
    <w:p w14:paraId="756C8EFC" w14:textId="5B67F354" w:rsidR="00607A5D" w:rsidRDefault="00607A5D" w:rsidP="003A11C6">
      <w:pPr>
        <w:pStyle w:val="Heading3"/>
        <w:spacing w:before="240" w:after="240"/>
        <w:rPr>
          <w:lang w:val="en-AU"/>
        </w:rPr>
      </w:pPr>
      <w:r>
        <w:rPr>
          <w:lang w:val="en-AU"/>
        </w:rPr>
        <w:t>What findings will my organisation receive?</w:t>
      </w:r>
    </w:p>
    <w:p w14:paraId="105FC541" w14:textId="77777777" w:rsidR="000B0B01" w:rsidRPr="000B0B01" w:rsidRDefault="000B0B01" w:rsidP="000B0B01">
      <w:pPr>
        <w:pStyle w:val="BodyText1"/>
        <w:rPr>
          <w:lang w:val="en-AU"/>
        </w:rPr>
      </w:pPr>
      <w:r w:rsidRPr="000B0B01">
        <w:rPr>
          <w:lang w:val="en-AU"/>
        </w:rPr>
        <w:t>Your organisation can explore your results in 3 ways:</w:t>
      </w:r>
    </w:p>
    <w:p w14:paraId="5024DA69" w14:textId="515A2038" w:rsidR="000B0B01" w:rsidRPr="007C51D5" w:rsidRDefault="3B137133" w:rsidP="007C51D5">
      <w:pPr>
        <w:pStyle w:val="ListNumber"/>
        <w:numPr>
          <w:ilvl w:val="0"/>
          <w:numId w:val="14"/>
        </w:numPr>
        <w:rPr>
          <w:lang w:val="en-AU"/>
        </w:rPr>
      </w:pPr>
      <w:r w:rsidRPr="3B137133">
        <w:rPr>
          <w:b/>
          <w:bCs/>
          <w:lang w:val="en-AU"/>
        </w:rPr>
        <w:t xml:space="preserve">Online interactive dashboard: </w:t>
      </w:r>
      <w:r w:rsidRPr="3B137133">
        <w:rPr>
          <w:lang w:val="en-AU"/>
        </w:rPr>
        <w:t>DCA is partnered with</w:t>
      </w:r>
      <w:r w:rsidR="00720B4C">
        <w:rPr>
          <w:lang w:val="en-AU"/>
        </w:rPr>
        <w:t xml:space="preserve"> </w:t>
      </w:r>
      <w:r w:rsidRPr="3B137133">
        <w:rPr>
          <w:lang w:val="en-AU"/>
        </w:rPr>
        <w:t xml:space="preserve">Cultural </w:t>
      </w:r>
      <w:r w:rsidR="006F2B85">
        <w:rPr>
          <w:lang w:val="en-AU"/>
        </w:rPr>
        <w:t>Infusion</w:t>
      </w:r>
      <w:r w:rsidRPr="3B137133">
        <w:rPr>
          <w:lang w:val="en-AU"/>
        </w:rPr>
        <w:t xml:space="preserve"> to enable participating organisations to explore their findings interactively in an interactive dashboard. The dashboard displays results across three main sections:</w:t>
      </w:r>
    </w:p>
    <w:p w14:paraId="7C7F6A1A" w14:textId="0A04967D" w:rsidR="000B0B01" w:rsidRPr="000B0B01" w:rsidRDefault="000B0B01" w:rsidP="007C51D5">
      <w:pPr>
        <w:pStyle w:val="ListBullet"/>
        <w:rPr>
          <w:lang w:val="en-AU"/>
        </w:rPr>
      </w:pPr>
      <w:r w:rsidRPr="000B0B01">
        <w:rPr>
          <w:b/>
          <w:bCs/>
          <w:lang w:val="en-AU"/>
        </w:rPr>
        <w:t>Diversity metrics</w:t>
      </w:r>
      <w:r w:rsidRPr="007C51D5">
        <w:rPr>
          <w:b/>
          <w:bCs/>
          <w:lang w:val="en-AU"/>
        </w:rPr>
        <w:t>:</w:t>
      </w:r>
      <w:r w:rsidRPr="000B0B01">
        <w:rPr>
          <w:lang w:val="en-AU"/>
        </w:rPr>
        <w:t xml:space="preserve"> a summary of your diversity data, benchmarked against the Australian Workforce and DCA</w:t>
      </w:r>
      <w:r w:rsidR="007C51D5">
        <w:rPr>
          <w:lang w:val="en-AU"/>
        </w:rPr>
        <w:t xml:space="preserve"> </w:t>
      </w:r>
      <w:r w:rsidRPr="000B0B01">
        <w:rPr>
          <w:lang w:val="en-AU"/>
        </w:rPr>
        <w:t>Member benchmark</w:t>
      </w:r>
    </w:p>
    <w:p w14:paraId="57629632" w14:textId="482D7E69" w:rsidR="006B4F4E" w:rsidRDefault="000B0B01" w:rsidP="007C51D5">
      <w:pPr>
        <w:pStyle w:val="ListBullet"/>
        <w:rPr>
          <w:lang w:val="en-AU"/>
        </w:rPr>
      </w:pPr>
      <w:r w:rsidRPr="000B0B01">
        <w:rPr>
          <w:b/>
          <w:bCs/>
          <w:lang w:val="en-AU"/>
        </w:rPr>
        <w:t xml:space="preserve">Compare </w:t>
      </w:r>
      <w:proofErr w:type="gramStart"/>
      <w:r w:rsidRPr="000B0B01">
        <w:rPr>
          <w:b/>
          <w:bCs/>
          <w:lang w:val="en-AU"/>
        </w:rPr>
        <w:t>metrics:</w:t>
      </w:r>
      <w:proofErr w:type="gramEnd"/>
      <w:r w:rsidRPr="000B0B01">
        <w:rPr>
          <w:b/>
          <w:bCs/>
          <w:lang w:val="en-AU"/>
        </w:rPr>
        <w:t xml:space="preserve"> </w:t>
      </w:r>
      <w:r w:rsidRPr="000B0B01">
        <w:rPr>
          <w:lang w:val="en-AU"/>
        </w:rPr>
        <w:t>displays how your employees responded to the inclusion and exclusion questions, and the</w:t>
      </w:r>
      <w:r w:rsidR="007C51D5">
        <w:rPr>
          <w:lang w:val="en-AU"/>
        </w:rPr>
        <w:t xml:space="preserve"> </w:t>
      </w:r>
      <w:r w:rsidRPr="000B0B01">
        <w:rPr>
          <w:lang w:val="en-AU"/>
        </w:rPr>
        <w:t>impact of inclusion questions compared against the Australian Workforce and DCA Member Benchmarks.</w:t>
      </w:r>
    </w:p>
    <w:p w14:paraId="1B3A2E31" w14:textId="77777777" w:rsidR="0066245D" w:rsidRDefault="00216A09" w:rsidP="006F3FE8">
      <w:pPr>
        <w:pStyle w:val="ListBullet"/>
        <w:rPr>
          <w:lang w:val="en-AU"/>
        </w:rPr>
      </w:pPr>
      <w:r w:rsidRPr="006F3FE8">
        <w:rPr>
          <w:b/>
          <w:bCs/>
          <w:lang w:val="en-AU"/>
        </w:rPr>
        <w:t xml:space="preserve">Inclusion and exclusion experiences x diversity </w:t>
      </w:r>
      <w:proofErr w:type="gramStart"/>
      <w:r w:rsidRPr="006F3FE8">
        <w:rPr>
          <w:b/>
          <w:bCs/>
          <w:lang w:val="en-AU"/>
        </w:rPr>
        <w:t>metrics:</w:t>
      </w:r>
      <w:proofErr w:type="gramEnd"/>
      <w:r w:rsidRPr="006F3FE8">
        <w:rPr>
          <w:b/>
          <w:bCs/>
          <w:lang w:val="en-AU"/>
        </w:rPr>
        <w:t xml:space="preserve"> </w:t>
      </w:r>
      <w:r w:rsidRPr="006F3FE8">
        <w:rPr>
          <w:lang w:val="en-AU"/>
        </w:rPr>
        <w:t>displays how your employees responded to the inclusion and exclusion questions across up to 9 diversity dimensions (i.e., Aboriginal and/or Torres Strait Islander background, age,</w:t>
      </w:r>
    </w:p>
    <w:p w14:paraId="020C0311" w14:textId="622FE54C" w:rsidR="0066245D" w:rsidRDefault="0066245D" w:rsidP="0066245D">
      <w:pPr>
        <w:pStyle w:val="BodyTextContinued"/>
        <w:rPr>
          <w:lang w:val="en-AU"/>
        </w:rPr>
      </w:pPr>
      <w:r>
        <w:rPr>
          <w:lang w:val="en-AU"/>
        </w:rPr>
        <w:t>continued</w:t>
      </w:r>
    </w:p>
    <w:p w14:paraId="5D2150C4" w14:textId="220ACA92" w:rsidR="006F3FE8" w:rsidRPr="000B0B01" w:rsidRDefault="00216A09" w:rsidP="0066245D">
      <w:pPr>
        <w:pStyle w:val="ListBullet"/>
        <w:numPr>
          <w:ilvl w:val="0"/>
          <w:numId w:val="0"/>
        </w:numPr>
        <w:ind w:left="709"/>
        <w:rPr>
          <w:lang w:val="en-AU"/>
        </w:rPr>
      </w:pPr>
      <w:r w:rsidRPr="006F3FE8">
        <w:rPr>
          <w:lang w:val="en-AU"/>
        </w:rPr>
        <w:lastRenderedPageBreak/>
        <w:t>caring status, cultural background, disability status, gender, language, LGBTIQ+ status, and religious affiliation).</w:t>
      </w:r>
      <w:r w:rsidR="006F3FE8">
        <w:rPr>
          <w:lang w:val="en-AU"/>
        </w:rPr>
        <w:t xml:space="preserve"> </w:t>
      </w:r>
      <w:r w:rsidR="006F3FE8" w:rsidRPr="000B0B01">
        <w:rPr>
          <w:lang w:val="en-AU"/>
        </w:rPr>
        <w:t>For example, how your employees with caring responsibilities answered</w:t>
      </w:r>
      <w:r w:rsidR="006F3FE8">
        <w:rPr>
          <w:lang w:val="en-AU"/>
        </w:rPr>
        <w:t xml:space="preserve"> </w:t>
      </w:r>
      <w:r w:rsidR="006F3FE8" w:rsidRPr="000B0B01">
        <w:rPr>
          <w:lang w:val="en-AU"/>
        </w:rPr>
        <w:t>compared to those without caring responsibilities.</w:t>
      </w:r>
    </w:p>
    <w:p w14:paraId="301E8039" w14:textId="3664597D" w:rsidR="000B0B01" w:rsidRPr="000B0B01" w:rsidRDefault="006F3FE8" w:rsidP="006F3FE8">
      <w:pPr>
        <w:pStyle w:val="ListBullet"/>
        <w:numPr>
          <w:ilvl w:val="0"/>
          <w:numId w:val="0"/>
        </w:numPr>
        <w:rPr>
          <w:lang w:val="en-AU"/>
        </w:rPr>
      </w:pPr>
      <w:r>
        <w:rPr>
          <w:lang w:val="en-AU"/>
        </w:rPr>
        <w:t>Onli</w:t>
      </w:r>
      <w:r w:rsidR="000B0B01" w:rsidRPr="000B0B01">
        <w:rPr>
          <w:lang w:val="en-AU"/>
        </w:rPr>
        <w:t>ne dashboard findings can be accessed in the Online Interactive Dashboard until 31 December 202</w:t>
      </w:r>
      <w:r w:rsidR="00FB0060">
        <w:rPr>
          <w:lang w:val="en-AU"/>
        </w:rPr>
        <w:t>6</w:t>
      </w:r>
      <w:r w:rsidR="000B0B01" w:rsidRPr="000B0B01">
        <w:rPr>
          <w:lang w:val="en-AU"/>
        </w:rPr>
        <w:t>.</w:t>
      </w:r>
    </w:p>
    <w:p w14:paraId="1D29D09E" w14:textId="5F2E9D48" w:rsidR="000B0B01" w:rsidRPr="000B0B01" w:rsidRDefault="000B0B01" w:rsidP="00C65709">
      <w:pPr>
        <w:pStyle w:val="ListNumber"/>
        <w:numPr>
          <w:ilvl w:val="0"/>
          <w:numId w:val="14"/>
        </w:numPr>
        <w:rPr>
          <w:lang w:val="en-AU"/>
        </w:rPr>
      </w:pPr>
      <w:r w:rsidRPr="000B0B01">
        <w:rPr>
          <w:b/>
          <w:bCs/>
          <w:lang w:val="en-AU"/>
        </w:rPr>
        <w:t xml:space="preserve">PDF Report. </w:t>
      </w:r>
      <w:r w:rsidRPr="000B0B01">
        <w:rPr>
          <w:lang w:val="en-AU"/>
        </w:rPr>
        <w:t>A brief review of some of your organisation’s results, including:</w:t>
      </w:r>
    </w:p>
    <w:p w14:paraId="683502EE" w14:textId="005D2F6C" w:rsidR="000B0B01" w:rsidRPr="000B0B01" w:rsidRDefault="000B0B01" w:rsidP="005C6A77">
      <w:pPr>
        <w:pStyle w:val="ListBullet"/>
        <w:rPr>
          <w:lang w:val="en-AU"/>
        </w:rPr>
      </w:pPr>
      <w:r w:rsidRPr="000B0B01">
        <w:rPr>
          <w:b/>
          <w:bCs/>
          <w:lang w:val="en-AU"/>
        </w:rPr>
        <w:t xml:space="preserve">Your diversity profile </w:t>
      </w:r>
      <w:r w:rsidRPr="000B0B01">
        <w:rPr>
          <w:lang w:val="en-AU"/>
        </w:rPr>
        <w:t>compared to the Australian workforce and DCA Members</w:t>
      </w:r>
    </w:p>
    <w:p w14:paraId="24A4BC67" w14:textId="237BFB8F" w:rsidR="000B0B01" w:rsidRPr="000B0B01" w:rsidRDefault="000B0B01" w:rsidP="005C6A77">
      <w:pPr>
        <w:pStyle w:val="ListBullet"/>
        <w:rPr>
          <w:lang w:val="en-AU"/>
        </w:rPr>
      </w:pPr>
      <w:r w:rsidRPr="000B0B01">
        <w:rPr>
          <w:b/>
          <w:bCs/>
          <w:lang w:val="en-AU"/>
        </w:rPr>
        <w:t xml:space="preserve">Aggregated scores </w:t>
      </w:r>
      <w:r w:rsidRPr="000B0B01">
        <w:rPr>
          <w:lang w:val="en-AU"/>
        </w:rPr>
        <w:t>for team inclusion, inclusive managers, and inclusive organisation, compared to the</w:t>
      </w:r>
      <w:r w:rsidR="005C6A77">
        <w:rPr>
          <w:lang w:val="en-AU"/>
        </w:rPr>
        <w:t xml:space="preserve"> </w:t>
      </w:r>
      <w:r w:rsidRPr="000B0B01">
        <w:rPr>
          <w:lang w:val="en-AU"/>
        </w:rPr>
        <w:t>Australian workforce and DCA Members</w:t>
      </w:r>
    </w:p>
    <w:p w14:paraId="49E1D580" w14:textId="69D917BB" w:rsidR="000B0B01" w:rsidRPr="000B0B01" w:rsidRDefault="000B0B01" w:rsidP="005C6A77">
      <w:pPr>
        <w:pStyle w:val="ListBullet"/>
        <w:rPr>
          <w:lang w:val="en-AU"/>
        </w:rPr>
      </w:pPr>
      <w:r w:rsidRPr="000B0B01">
        <w:rPr>
          <w:b/>
          <w:bCs/>
          <w:lang w:val="en-AU"/>
        </w:rPr>
        <w:t xml:space="preserve">An individualised business case </w:t>
      </w:r>
      <w:r w:rsidRPr="000B0B01">
        <w:rPr>
          <w:lang w:val="en-AU"/>
        </w:rPr>
        <w:t>for inclusion in your organisation, showing the impact of inclusion on your</w:t>
      </w:r>
      <w:r w:rsidR="005C6A77">
        <w:rPr>
          <w:lang w:val="en-AU"/>
        </w:rPr>
        <w:t xml:space="preserve"> </w:t>
      </w:r>
      <w:r w:rsidRPr="000B0B01">
        <w:rPr>
          <w:lang w:val="en-AU"/>
        </w:rPr>
        <w:t>employee performance and wellbeing.</w:t>
      </w:r>
    </w:p>
    <w:p w14:paraId="0D24AB65" w14:textId="2DF19289" w:rsidR="00607A5D" w:rsidRDefault="3B137133" w:rsidP="00C65709">
      <w:pPr>
        <w:pStyle w:val="ListNumber"/>
        <w:numPr>
          <w:ilvl w:val="0"/>
          <w:numId w:val="14"/>
        </w:numPr>
        <w:rPr>
          <w:lang w:val="en-AU"/>
        </w:rPr>
      </w:pPr>
      <w:r w:rsidRPr="3B137133">
        <w:rPr>
          <w:b/>
          <w:bCs/>
          <w:lang w:val="en-AU"/>
        </w:rPr>
        <w:t xml:space="preserve">Exports. </w:t>
      </w:r>
      <w:r w:rsidRPr="3B137133">
        <w:rPr>
          <w:lang w:val="en-AU"/>
        </w:rPr>
        <w:t>For the period commencing 1 July 2026 to 31 December 2026 that you have access to the dashboard, you can download a selection of online dashboard findings in PDF or CSV form and/or take screen grabs.</w:t>
      </w:r>
    </w:p>
    <w:p w14:paraId="45BC3E8F" w14:textId="694D484E" w:rsidR="00EC67CC" w:rsidRDefault="00EC67CC" w:rsidP="0066245D">
      <w:pPr>
        <w:pStyle w:val="Heading3"/>
        <w:spacing w:before="360" w:after="240"/>
        <w:rPr>
          <w:lang w:val="en-AU"/>
        </w:rPr>
      </w:pPr>
      <w:r>
        <w:rPr>
          <w:lang w:val="en-AU"/>
        </w:rPr>
        <w:t>When will we receive our findings?</w:t>
      </w:r>
    </w:p>
    <w:p w14:paraId="69DFD34D" w14:textId="77777777" w:rsidR="008D1FCA" w:rsidRDefault="008D1FCA" w:rsidP="008D1FCA">
      <w:pPr>
        <w:pStyle w:val="BodyText1"/>
        <w:rPr>
          <w:lang w:val="en-AU"/>
        </w:rPr>
      </w:pPr>
      <w:proofErr w:type="gramStart"/>
      <w:r w:rsidRPr="008D1FCA">
        <w:rPr>
          <w:lang w:val="en-AU"/>
        </w:rPr>
        <w:t>The majority of</w:t>
      </w:r>
      <w:proofErr w:type="gramEnd"/>
      <w:r w:rsidRPr="008D1FCA">
        <w:rPr>
          <w:lang w:val="en-AU"/>
        </w:rPr>
        <w:t xml:space="preserve"> your results will be available in your online interactive dashboard live – that is, as employees fill in the</w:t>
      </w:r>
      <w:r>
        <w:rPr>
          <w:lang w:val="en-AU"/>
        </w:rPr>
        <w:t xml:space="preserve"> </w:t>
      </w:r>
      <w:r w:rsidRPr="008D1FCA">
        <w:rPr>
          <w:lang w:val="en-AU"/>
        </w:rPr>
        <w:t>survey you will begin to see your results.</w:t>
      </w:r>
    </w:p>
    <w:p w14:paraId="0FAD67B7" w14:textId="5E5E7C9F" w:rsidR="00EC67CC" w:rsidRDefault="008D1FCA" w:rsidP="008D1FCA">
      <w:pPr>
        <w:pStyle w:val="BodyText1"/>
        <w:rPr>
          <w:lang w:val="en-AU"/>
        </w:rPr>
      </w:pPr>
      <w:r w:rsidRPr="008D1FCA">
        <w:rPr>
          <w:lang w:val="en-AU"/>
        </w:rPr>
        <w:t>The PDF report of high-level findings will be available to your organisation</w:t>
      </w:r>
      <w:r>
        <w:rPr>
          <w:lang w:val="en-AU"/>
        </w:rPr>
        <w:t xml:space="preserve"> </w:t>
      </w:r>
      <w:r w:rsidRPr="008D1FCA">
        <w:rPr>
          <w:lang w:val="en-AU"/>
        </w:rPr>
        <w:t>within three months of the final close date of the Index survey in your workplace.</w:t>
      </w:r>
    </w:p>
    <w:p w14:paraId="5EC1D949" w14:textId="3A277429" w:rsidR="008D1FCA" w:rsidRDefault="00840AB2" w:rsidP="0066245D">
      <w:pPr>
        <w:pStyle w:val="Heading3"/>
        <w:spacing w:before="360" w:after="240"/>
        <w:rPr>
          <w:lang w:val="en-AU"/>
        </w:rPr>
      </w:pPr>
      <w:r>
        <w:rPr>
          <w:lang w:val="en-AU"/>
        </w:rPr>
        <w:t>What benchmarks are there?</w:t>
      </w:r>
    </w:p>
    <w:p w14:paraId="5E605916" w14:textId="77777777" w:rsidR="00840AB2" w:rsidRPr="00840AB2" w:rsidRDefault="00840AB2" w:rsidP="00840AB2">
      <w:pPr>
        <w:pStyle w:val="BodyText1"/>
        <w:rPr>
          <w:lang w:val="en-AU"/>
        </w:rPr>
      </w:pPr>
      <w:r w:rsidRPr="00840AB2">
        <w:rPr>
          <w:lang w:val="en-AU"/>
        </w:rPr>
        <w:t>All compare metrics, and many diversity metrics can be benchmarked in up to three ways:</w:t>
      </w:r>
    </w:p>
    <w:p w14:paraId="31469B5A" w14:textId="70EA6D11" w:rsidR="00840AB2" w:rsidRPr="00840AB2" w:rsidRDefault="00840AB2" w:rsidP="00840AB2">
      <w:pPr>
        <w:pStyle w:val="ListNumber"/>
        <w:numPr>
          <w:ilvl w:val="0"/>
          <w:numId w:val="15"/>
        </w:numPr>
        <w:rPr>
          <w:lang w:val="en-AU"/>
        </w:rPr>
      </w:pPr>
      <w:r w:rsidRPr="00840AB2">
        <w:rPr>
          <w:b/>
          <w:bCs/>
          <w:lang w:val="en-AU"/>
        </w:rPr>
        <w:t>Australian Workforce Benchmark</w:t>
      </w:r>
      <w:r w:rsidRPr="00840AB2">
        <w:rPr>
          <w:lang w:val="en-AU"/>
        </w:rPr>
        <w:t>: based on a nationally representative survey of 3000 workers in Australia.</w:t>
      </w:r>
    </w:p>
    <w:p w14:paraId="5024C3A9" w14:textId="6C672A79" w:rsidR="00840AB2" w:rsidRPr="00840AB2" w:rsidRDefault="00840AB2" w:rsidP="00840AB2">
      <w:pPr>
        <w:pStyle w:val="ListNumber"/>
        <w:numPr>
          <w:ilvl w:val="0"/>
          <w:numId w:val="15"/>
        </w:numPr>
        <w:rPr>
          <w:lang w:val="en-AU"/>
        </w:rPr>
      </w:pPr>
      <w:r w:rsidRPr="00840AB2">
        <w:rPr>
          <w:b/>
          <w:bCs/>
          <w:lang w:val="en-AU"/>
        </w:rPr>
        <w:t>DCA Member Benchmark</w:t>
      </w:r>
      <w:r w:rsidRPr="00840AB2">
        <w:rPr>
          <w:lang w:val="en-AU"/>
        </w:rPr>
        <w:t>: based on all employees from participating DCA Member organisations who took the survey.</w:t>
      </w:r>
    </w:p>
    <w:p w14:paraId="301A479C" w14:textId="4CD54331" w:rsidR="00840AB2" w:rsidRPr="00840AB2" w:rsidRDefault="00840AB2" w:rsidP="00840AB2">
      <w:pPr>
        <w:pStyle w:val="ListNumber"/>
        <w:numPr>
          <w:ilvl w:val="0"/>
          <w:numId w:val="15"/>
        </w:numPr>
        <w:rPr>
          <w:lang w:val="en-AU"/>
        </w:rPr>
      </w:pPr>
      <w:r w:rsidRPr="00840AB2">
        <w:rPr>
          <w:b/>
          <w:bCs/>
          <w:lang w:val="en-AU"/>
        </w:rPr>
        <w:t xml:space="preserve">Industry Benchmark </w:t>
      </w:r>
      <w:r w:rsidRPr="00840AB2">
        <w:rPr>
          <w:lang w:val="en-AU"/>
        </w:rPr>
        <w:t>from participating organisations in the same industry. Please note, this is only possible where there are three or more organisations participating in the industry.</w:t>
      </w:r>
    </w:p>
    <w:p w14:paraId="7B39EF7B" w14:textId="77777777" w:rsidR="00840AB2" w:rsidRPr="00840AB2" w:rsidRDefault="00840AB2" w:rsidP="0066245D">
      <w:pPr>
        <w:pStyle w:val="Heading3"/>
        <w:spacing w:before="360" w:after="240"/>
        <w:rPr>
          <w:lang w:val="en-AU"/>
        </w:rPr>
      </w:pPr>
      <w:r w:rsidRPr="00840AB2">
        <w:rPr>
          <w:lang w:val="en-AU"/>
        </w:rPr>
        <w:t>Is assistance with interpreting the findings available?</w:t>
      </w:r>
    </w:p>
    <w:p w14:paraId="7353FBDF" w14:textId="7D202687" w:rsidR="00840AB2" w:rsidRPr="00840AB2" w:rsidRDefault="00840AB2" w:rsidP="00840AB2">
      <w:pPr>
        <w:pStyle w:val="BodyText1"/>
      </w:pPr>
      <w:r w:rsidRPr="00840AB2">
        <w:t xml:space="preserve">DCA will hold a one-hour online workshop on how to approach reviewing findings, as well as </w:t>
      </w:r>
      <w:r>
        <w:t xml:space="preserve">a guide on </w:t>
      </w:r>
      <w:r w:rsidRPr="00840AB2">
        <w:t>how to explore your data</w:t>
      </w:r>
      <w:r>
        <w:t xml:space="preserve">, </w:t>
      </w:r>
      <w:r w:rsidRPr="00840AB2">
        <w:t xml:space="preserve">to assist </w:t>
      </w:r>
      <w:r>
        <w:t>you in understanding</w:t>
      </w:r>
      <w:r w:rsidRPr="00840AB2">
        <w:t xml:space="preserve"> your data.</w:t>
      </w:r>
    </w:p>
    <w:p w14:paraId="77F2939E" w14:textId="4E27DBCF" w:rsidR="00840AB2" w:rsidRPr="00840AB2" w:rsidRDefault="3B137133" w:rsidP="003A11C6">
      <w:pPr>
        <w:pStyle w:val="Heading2"/>
        <w:rPr>
          <w:lang w:val="en-AU"/>
        </w:rPr>
      </w:pPr>
      <w:r w:rsidRPr="3B137133">
        <w:rPr>
          <w:lang w:val="en-AU"/>
        </w:rPr>
        <w:lastRenderedPageBreak/>
        <w:t>Profiling as an Inclusive Employer 2026-2027</w:t>
      </w:r>
    </w:p>
    <w:p w14:paraId="5901B6A0" w14:textId="30DB9C71" w:rsidR="00840AB2" w:rsidRPr="00840AB2" w:rsidRDefault="3B137133" w:rsidP="00344669">
      <w:pPr>
        <w:pStyle w:val="BodyText1"/>
        <w:rPr>
          <w:lang w:val="en-AU"/>
        </w:rPr>
      </w:pPr>
      <w:r w:rsidRPr="3B137133">
        <w:rPr>
          <w:lang w:val="en-AU"/>
        </w:rPr>
        <w:t xml:space="preserve">Organisations that administer the Inclusive Employer Index, if deemed eligible, </w:t>
      </w:r>
      <w:proofErr w:type="gramStart"/>
      <w:r w:rsidRPr="3B137133">
        <w:rPr>
          <w:lang w:val="en-AU"/>
        </w:rPr>
        <w:t>are able to</w:t>
      </w:r>
      <w:proofErr w:type="gramEnd"/>
      <w:r w:rsidRPr="3B137133">
        <w:rPr>
          <w:lang w:val="en-AU"/>
        </w:rPr>
        <w:t xml:space="preserve"> show their commitment to diversity and inclusion by displaying the </w:t>
      </w:r>
      <w:r w:rsidRPr="3B137133">
        <w:rPr>
          <w:i/>
          <w:iCs/>
          <w:lang w:val="en-AU"/>
        </w:rPr>
        <w:t xml:space="preserve">Inclusive Employer 2026-2027 </w:t>
      </w:r>
      <w:r w:rsidRPr="3B137133">
        <w:rPr>
          <w:lang w:val="en-AU"/>
        </w:rPr>
        <w:t>logo.</w:t>
      </w:r>
    </w:p>
    <w:p w14:paraId="5E190838" w14:textId="0E51D626" w:rsidR="00840AB2" w:rsidRPr="00840AB2" w:rsidRDefault="133658F7" w:rsidP="00344669">
      <w:pPr>
        <w:pStyle w:val="BodyText1"/>
        <w:rPr>
          <w:lang w:val="en-AU"/>
        </w:rPr>
      </w:pPr>
      <w:r w:rsidRPr="71A5F359">
        <w:rPr>
          <w:lang w:val="en-AU"/>
        </w:rPr>
        <w:t xml:space="preserve">To be deemed eligible as an </w:t>
      </w:r>
      <w:r w:rsidRPr="71A5F359">
        <w:rPr>
          <w:i/>
          <w:iCs/>
          <w:lang w:val="en-AU"/>
        </w:rPr>
        <w:t>Inclusive Employer 2026-2027</w:t>
      </w:r>
      <w:r w:rsidRPr="71A5F359">
        <w:rPr>
          <w:lang w:val="en-AU"/>
        </w:rPr>
        <w:t xml:space="preserve">, participating organisations must have administered the Inclusive Employer Index between </w:t>
      </w:r>
      <w:r w:rsidR="1D0D42A8" w:rsidRPr="71A5F359">
        <w:rPr>
          <w:lang w:val="en-AU"/>
        </w:rPr>
        <w:t xml:space="preserve">1 </w:t>
      </w:r>
      <w:r w:rsidRPr="71A5F359">
        <w:rPr>
          <w:lang w:val="en-AU"/>
        </w:rPr>
        <w:t xml:space="preserve">July and </w:t>
      </w:r>
      <w:r w:rsidR="3EC303B9" w:rsidRPr="71A5F359">
        <w:rPr>
          <w:lang w:val="en-AU"/>
        </w:rPr>
        <w:t xml:space="preserve">30 </w:t>
      </w:r>
      <w:r w:rsidRPr="71A5F359">
        <w:rPr>
          <w:lang w:val="en-AU"/>
        </w:rPr>
        <w:t>September 2026, and:</w:t>
      </w:r>
    </w:p>
    <w:p w14:paraId="015D45BB" w14:textId="527E8CB1" w:rsidR="00840AB2" w:rsidRPr="00840AB2" w:rsidRDefault="00840AB2" w:rsidP="00344669">
      <w:pPr>
        <w:pStyle w:val="ListBullet"/>
        <w:rPr>
          <w:lang w:val="en-AU"/>
        </w:rPr>
      </w:pPr>
      <w:r w:rsidRPr="00840AB2">
        <w:rPr>
          <w:lang w:val="en-AU"/>
        </w:rPr>
        <w:t>Invite at least 65% of their employees to participate</w:t>
      </w:r>
    </w:p>
    <w:p w14:paraId="7248D44C" w14:textId="5BE83A1E" w:rsidR="00840AB2" w:rsidRPr="00840AB2" w:rsidRDefault="00840AB2" w:rsidP="00344669">
      <w:pPr>
        <w:pStyle w:val="ListBullet"/>
        <w:rPr>
          <w:lang w:val="en-AU"/>
        </w:rPr>
      </w:pPr>
      <w:r w:rsidRPr="00840AB2">
        <w:rPr>
          <w:lang w:val="en-AU"/>
        </w:rPr>
        <w:t>Have a response rate of at least 20% of all survey tokens sent; and</w:t>
      </w:r>
    </w:p>
    <w:p w14:paraId="521F6D29" w14:textId="2ED08588" w:rsidR="00840AB2" w:rsidRPr="000B3BD7" w:rsidRDefault="00840AB2" w:rsidP="000B3BD7">
      <w:pPr>
        <w:pStyle w:val="ListBullet"/>
        <w:rPr>
          <w:lang w:val="en-AU"/>
        </w:rPr>
      </w:pPr>
      <w:r w:rsidRPr="00840AB2">
        <w:rPr>
          <w:lang w:val="en-AU"/>
        </w:rPr>
        <w:t>Show that they are active and committed to inclusion by achieving results that exceed the National Index</w:t>
      </w:r>
      <w:r w:rsidR="00697D9E">
        <w:rPr>
          <w:lang w:val="en-AU"/>
        </w:rPr>
        <w:t xml:space="preserve"> Benchmark on at least five out of six of the following measures:</w:t>
      </w:r>
      <w:r w:rsidRPr="000B3BD7">
        <w:rPr>
          <w:lang w:val="en-AU"/>
        </w:rPr>
        <w:t xml:space="preserve"> (i) Awareness for D&amp;I action; (ii) Engagement</w:t>
      </w:r>
      <w:r w:rsidR="000B3BD7">
        <w:rPr>
          <w:lang w:val="en-AU"/>
        </w:rPr>
        <w:t xml:space="preserve"> </w:t>
      </w:r>
      <w:r w:rsidR="000B3BD7" w:rsidRPr="00840AB2">
        <w:rPr>
          <w:lang w:val="en-AU"/>
        </w:rPr>
        <w:t>with D&amp;I action; (iii) Inclusive Organisational Climate; (iv) Inclusive Leadership; (v) Inclusive Team; (vi)</w:t>
      </w:r>
      <w:r w:rsidR="000B3BD7">
        <w:rPr>
          <w:lang w:val="en-AU"/>
        </w:rPr>
        <w:t xml:space="preserve"> </w:t>
      </w:r>
      <w:r w:rsidRPr="000B3BD7">
        <w:rPr>
          <w:lang w:val="en-AU"/>
        </w:rPr>
        <w:t>Exclusion.</w:t>
      </w:r>
    </w:p>
    <w:p w14:paraId="1AAB9CFB" w14:textId="236243A9" w:rsidR="00840AB2" w:rsidRPr="00840AB2" w:rsidRDefault="00840AB2" w:rsidP="003A11C6">
      <w:pPr>
        <w:pStyle w:val="Heading2"/>
        <w:rPr>
          <w:lang w:val="en-AU"/>
        </w:rPr>
      </w:pPr>
      <w:r w:rsidRPr="00840AB2">
        <w:rPr>
          <w:lang w:val="en-AU"/>
        </w:rPr>
        <w:t>Cost of participation</w:t>
      </w:r>
    </w:p>
    <w:p w14:paraId="44B20FEA" w14:textId="77777777" w:rsidR="00840AB2" w:rsidRPr="00840AB2" w:rsidRDefault="00840AB2" w:rsidP="000B3BD7">
      <w:pPr>
        <w:pStyle w:val="Heading3"/>
        <w:rPr>
          <w:lang w:val="en-AU"/>
        </w:rPr>
      </w:pPr>
      <w:r w:rsidRPr="00840AB2">
        <w:rPr>
          <w:lang w:val="en-AU"/>
        </w:rPr>
        <w:t>How much does it cost and who do I pay?</w:t>
      </w:r>
    </w:p>
    <w:p w14:paraId="35F2B72A" w14:textId="39A5F656" w:rsidR="00840AB2" w:rsidRPr="00840AB2" w:rsidRDefault="003D3387" w:rsidP="000B3BD7">
      <w:pPr>
        <w:pStyle w:val="BodyText1"/>
        <w:rPr>
          <w:lang w:val="en-AU"/>
        </w:rPr>
      </w:pPr>
      <w:r w:rsidRPr="003D3387">
        <w:rPr>
          <w:lang w:val="en-AU"/>
        </w:rPr>
        <w:t>Cost of participation is tier-based, based on</w:t>
      </w:r>
      <w:r>
        <w:rPr>
          <w:lang w:val="en-AU"/>
        </w:rPr>
        <w:t xml:space="preserve"> the</w:t>
      </w:r>
      <w:r w:rsidRPr="003D3387">
        <w:rPr>
          <w:lang w:val="en-AU"/>
        </w:rPr>
        <w:t xml:space="preserve"> number of employees in your organisation and whether you are a for-profit or a not-for-profit organisation.</w:t>
      </w:r>
      <w:r>
        <w:rPr>
          <w:lang w:val="en-AU"/>
        </w:rPr>
        <w:t xml:space="preserve"> </w:t>
      </w:r>
      <w:r w:rsidR="00840AB2" w:rsidRPr="00840AB2">
        <w:rPr>
          <w:lang w:val="en-AU"/>
        </w:rPr>
        <w:t>Not-for-profit organisations must be currently registered with the</w:t>
      </w:r>
      <w:r w:rsidR="000B3BD7">
        <w:rPr>
          <w:lang w:val="en-AU"/>
        </w:rPr>
        <w:t xml:space="preserve"> </w:t>
      </w:r>
      <w:r w:rsidR="00840AB2" w:rsidRPr="00840AB2">
        <w:rPr>
          <w:lang w:val="en-AU"/>
        </w:rPr>
        <w:t>Australian Charities and Not-for-profits Commission to be eligible for no</w:t>
      </w:r>
      <w:r w:rsidR="000B1B6D">
        <w:rPr>
          <w:lang w:val="en-AU"/>
        </w:rPr>
        <w:t>t</w:t>
      </w:r>
      <w:r w:rsidR="00840AB2" w:rsidRPr="00840AB2">
        <w:rPr>
          <w:lang w:val="en-AU"/>
        </w:rPr>
        <w:t>-for-profit pricing.</w:t>
      </w:r>
    </w:p>
    <w:p w14:paraId="176D02F7" w14:textId="5680F7BB" w:rsidR="00840AB2" w:rsidRDefault="3B137133" w:rsidP="000B3BD7">
      <w:pPr>
        <w:pStyle w:val="BodyText1"/>
        <w:rPr>
          <w:lang w:val="en-AU"/>
        </w:rPr>
      </w:pPr>
      <w:r w:rsidRPr="3B137133">
        <w:rPr>
          <w:lang w:val="en-AU"/>
        </w:rPr>
        <w:t>DCA will send you an invoice and it must be paid prior to the fieldwork commencing. Payment upfront will confirm participation. The costs are specified in the following table.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2778"/>
        <w:gridCol w:w="3458"/>
        <w:gridCol w:w="3458"/>
      </w:tblGrid>
      <w:tr w:rsidR="009F5CC8" w14:paraId="47A7BC04" w14:textId="77777777" w:rsidTr="71A5F359">
        <w:trPr>
          <w:trHeight w:val="397"/>
        </w:trPr>
        <w:tc>
          <w:tcPr>
            <w:tcW w:w="2778" w:type="dxa"/>
            <w:tcBorders>
              <w:right w:val="single" w:sz="4" w:space="0" w:color="FFFFFF"/>
            </w:tcBorders>
            <w:shd w:val="clear" w:color="auto" w:fill="081749" w:themeFill="background1"/>
            <w:vAlign w:val="center"/>
          </w:tcPr>
          <w:p w14:paraId="3A9ABD8B" w14:textId="082252B3" w:rsidR="009E1389" w:rsidRPr="002E50D1" w:rsidRDefault="009E1389" w:rsidP="00811E85">
            <w:pPr>
              <w:pStyle w:val="BodyText1"/>
              <w:spacing w:after="0"/>
              <w:rPr>
                <w:b/>
                <w:bCs/>
                <w:color w:val="FFFFFF"/>
                <w:lang w:val="en-AU"/>
              </w:rPr>
            </w:pPr>
            <w:r w:rsidRPr="002E50D1">
              <w:rPr>
                <w:b/>
                <w:bCs/>
                <w:color w:val="FFFFFF"/>
                <w:lang w:val="en-AU"/>
              </w:rPr>
              <w:t>Tier</w:t>
            </w:r>
          </w:p>
        </w:tc>
        <w:tc>
          <w:tcPr>
            <w:tcW w:w="345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81749" w:themeFill="background1"/>
            <w:vAlign w:val="center"/>
          </w:tcPr>
          <w:p w14:paraId="5D66578F" w14:textId="70275B3D" w:rsidR="009E1389" w:rsidRPr="002E50D1" w:rsidRDefault="00E91DF7" w:rsidP="00811E85">
            <w:pPr>
              <w:pStyle w:val="BodyText1"/>
              <w:spacing w:after="0"/>
              <w:rPr>
                <w:b/>
                <w:bCs/>
                <w:color w:val="FFFFFF"/>
                <w:lang w:val="en-AU"/>
              </w:rPr>
            </w:pPr>
            <w:r w:rsidRPr="002E50D1">
              <w:rPr>
                <w:b/>
                <w:bCs/>
                <w:color w:val="FFFFFF"/>
                <w:lang w:val="en-AU"/>
              </w:rPr>
              <w:t xml:space="preserve">Member </w:t>
            </w:r>
            <w:r w:rsidR="00987D30" w:rsidRPr="002E50D1">
              <w:rPr>
                <w:b/>
                <w:bCs/>
                <w:color w:val="FFFFFF"/>
                <w:lang w:val="en-AU"/>
              </w:rPr>
              <w:t>cost</w:t>
            </w:r>
            <w:r w:rsidR="00E121F1" w:rsidRPr="002E50D1">
              <w:rPr>
                <w:b/>
                <w:bCs/>
                <w:color w:val="FFFFFF"/>
                <w:lang w:val="en-AU"/>
              </w:rPr>
              <w:t xml:space="preserve"> - </w:t>
            </w:r>
            <w:r w:rsidR="009E1389" w:rsidRPr="002E50D1">
              <w:rPr>
                <w:b/>
                <w:bCs/>
                <w:color w:val="FFFFFF"/>
                <w:lang w:val="en-AU"/>
              </w:rPr>
              <w:t>For profit</w:t>
            </w:r>
          </w:p>
        </w:tc>
        <w:tc>
          <w:tcPr>
            <w:tcW w:w="3458" w:type="dxa"/>
            <w:tcBorders>
              <w:left w:val="single" w:sz="4" w:space="0" w:color="FFFFFF"/>
            </w:tcBorders>
            <w:shd w:val="clear" w:color="auto" w:fill="081749" w:themeFill="background1"/>
            <w:vAlign w:val="center"/>
          </w:tcPr>
          <w:p w14:paraId="3A39EF87" w14:textId="776EFE1A" w:rsidR="009E1389" w:rsidRPr="002E50D1" w:rsidRDefault="7AE19955" w:rsidP="00811E85">
            <w:pPr>
              <w:pStyle w:val="BodyText1"/>
              <w:spacing w:after="0"/>
              <w:rPr>
                <w:b/>
                <w:bCs/>
                <w:color w:val="FFFFFF"/>
                <w:lang w:val="en-AU"/>
              </w:rPr>
            </w:pPr>
            <w:r w:rsidRPr="71A5F359">
              <w:rPr>
                <w:b/>
                <w:bCs/>
                <w:color w:val="FFFFFF"/>
                <w:lang w:val="en-AU"/>
              </w:rPr>
              <w:t xml:space="preserve">Member </w:t>
            </w:r>
            <w:r w:rsidR="12AC3380" w:rsidRPr="71A5F359">
              <w:rPr>
                <w:b/>
                <w:bCs/>
                <w:color w:val="FFFFFF"/>
                <w:lang w:val="en-AU"/>
              </w:rPr>
              <w:t>c</w:t>
            </w:r>
            <w:r w:rsidR="16358996" w:rsidRPr="71A5F359">
              <w:rPr>
                <w:b/>
                <w:bCs/>
                <w:color w:val="FFFFFF"/>
                <w:lang w:val="en-AU"/>
              </w:rPr>
              <w:t xml:space="preserve">ost - </w:t>
            </w:r>
            <w:r w:rsidR="2D4E8C07" w:rsidRPr="71A5F359">
              <w:rPr>
                <w:b/>
                <w:bCs/>
                <w:color w:val="FFFFFF"/>
                <w:lang w:val="en-AU"/>
              </w:rPr>
              <w:t>Not</w:t>
            </w:r>
            <w:r w:rsidR="47EE383F" w:rsidRPr="71A5F359">
              <w:rPr>
                <w:b/>
                <w:bCs/>
                <w:color w:val="FFFFFF"/>
                <w:lang w:val="en-AU"/>
              </w:rPr>
              <w:t>-</w:t>
            </w:r>
            <w:r w:rsidR="2D4E8C07" w:rsidRPr="71A5F359">
              <w:rPr>
                <w:b/>
                <w:bCs/>
                <w:color w:val="FFFFFF"/>
                <w:lang w:val="en-AU"/>
              </w:rPr>
              <w:t>for</w:t>
            </w:r>
            <w:r w:rsidR="12AC3380" w:rsidRPr="71A5F359">
              <w:rPr>
                <w:b/>
                <w:bCs/>
                <w:color w:val="FFFFFF"/>
                <w:lang w:val="en-AU"/>
              </w:rPr>
              <w:t>-</w:t>
            </w:r>
            <w:r w:rsidR="2D4E8C07" w:rsidRPr="71A5F359">
              <w:rPr>
                <w:b/>
                <w:bCs/>
                <w:color w:val="FFFFFF"/>
                <w:lang w:val="en-AU"/>
              </w:rPr>
              <w:t>profit</w:t>
            </w:r>
          </w:p>
        </w:tc>
      </w:tr>
      <w:tr w:rsidR="009F5CC8" w14:paraId="1B2DCA22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08E4C058" w14:textId="53D3271E" w:rsidR="009E1389" w:rsidRDefault="218FE818" w:rsidP="00811E85">
            <w:pPr>
              <w:pStyle w:val="BodyText1"/>
              <w:spacing w:after="0"/>
              <w:rPr>
                <w:lang w:val="en-AU"/>
              </w:rPr>
            </w:pPr>
            <w:r w:rsidRPr="71A5F359">
              <w:rPr>
                <w:lang w:val="en-AU"/>
              </w:rPr>
              <w:t>45</w:t>
            </w:r>
            <w:r w:rsidR="2D4E8C07" w:rsidRPr="71A5F359">
              <w:rPr>
                <w:lang w:val="en-AU"/>
              </w:rPr>
              <w:t>-</w:t>
            </w:r>
            <w:r w:rsidR="2D543D92" w:rsidRPr="71A5F359">
              <w:rPr>
                <w:lang w:val="en-AU"/>
              </w:rPr>
              <w:t>99</w:t>
            </w:r>
            <w:r w:rsidR="2D4E8C07" w:rsidRPr="71A5F359">
              <w:rPr>
                <w:lang w:val="en-AU"/>
              </w:rPr>
              <w:t xml:space="preserve"> employees</w:t>
            </w:r>
          </w:p>
        </w:tc>
        <w:tc>
          <w:tcPr>
            <w:tcW w:w="3458" w:type="dxa"/>
            <w:vAlign w:val="center"/>
          </w:tcPr>
          <w:p w14:paraId="4AB3B01B" w14:textId="347C3A4D" w:rsidR="009E1389" w:rsidRDefault="5B121440" w:rsidP="00795671">
            <w:pPr>
              <w:pStyle w:val="BodyText1"/>
              <w:spacing w:after="0"/>
              <w:rPr>
                <w:lang w:val="en-AU"/>
              </w:rPr>
            </w:pPr>
            <w:r w:rsidRPr="71A5F359">
              <w:rPr>
                <w:lang w:val="en-AU"/>
              </w:rPr>
              <w:t>$2,520 + GST</w:t>
            </w:r>
          </w:p>
        </w:tc>
        <w:tc>
          <w:tcPr>
            <w:tcW w:w="3458" w:type="dxa"/>
            <w:vAlign w:val="center"/>
          </w:tcPr>
          <w:p w14:paraId="6A77E83A" w14:textId="55C9AF56" w:rsidR="009E1389" w:rsidRDefault="5B121440" w:rsidP="00795671">
            <w:pPr>
              <w:pStyle w:val="BodyText1"/>
              <w:spacing w:after="0"/>
              <w:rPr>
                <w:lang w:val="en-AU"/>
              </w:rPr>
            </w:pPr>
            <w:r w:rsidRPr="71A5F359">
              <w:rPr>
                <w:lang w:val="en-AU"/>
              </w:rPr>
              <w:t>$2,160 + GST</w:t>
            </w:r>
          </w:p>
        </w:tc>
      </w:tr>
      <w:tr w:rsidR="009F5CC8" w14:paraId="277DD117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13508435" w14:textId="0537F74E" w:rsidR="00E121F1" w:rsidRDefault="00E121F1" w:rsidP="00811E8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100-499 employees</w:t>
            </w:r>
          </w:p>
        </w:tc>
        <w:tc>
          <w:tcPr>
            <w:tcW w:w="3458" w:type="dxa"/>
            <w:vAlign w:val="center"/>
          </w:tcPr>
          <w:p w14:paraId="12ECB282" w14:textId="4230E3B1" w:rsidR="00E121F1" w:rsidRDefault="00E121F1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$4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680 + GST</w:t>
            </w:r>
          </w:p>
        </w:tc>
        <w:tc>
          <w:tcPr>
            <w:tcW w:w="3458" w:type="dxa"/>
            <w:vAlign w:val="center"/>
          </w:tcPr>
          <w:p w14:paraId="1D88E31F" w14:textId="1C71ECAC" w:rsidR="00E121F1" w:rsidRDefault="00E121F1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$3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950 + GST</w:t>
            </w:r>
          </w:p>
        </w:tc>
      </w:tr>
      <w:tr w:rsidR="009F5CC8" w14:paraId="54F7CA87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020F17A5" w14:textId="356C9161" w:rsidR="00E121F1" w:rsidRDefault="00E91DF7" w:rsidP="00811E8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500-2499 employees</w:t>
            </w:r>
          </w:p>
        </w:tc>
        <w:tc>
          <w:tcPr>
            <w:tcW w:w="3458" w:type="dxa"/>
            <w:vAlign w:val="center"/>
          </w:tcPr>
          <w:p w14:paraId="180AC74C" w14:textId="689BE60C" w:rsidR="00E121F1" w:rsidRDefault="00E91DF7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$5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670 + GST</w:t>
            </w:r>
          </w:p>
        </w:tc>
        <w:tc>
          <w:tcPr>
            <w:tcW w:w="3458" w:type="dxa"/>
            <w:vAlign w:val="center"/>
          </w:tcPr>
          <w:p w14:paraId="708C647C" w14:textId="44195F83" w:rsidR="00E121F1" w:rsidRDefault="00E91DF7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$4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860 + GST</w:t>
            </w:r>
          </w:p>
        </w:tc>
      </w:tr>
      <w:tr w:rsidR="009F5CC8" w14:paraId="773DBD48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6B45DEDC" w14:textId="465B8902" w:rsidR="00E121F1" w:rsidRDefault="00987D30" w:rsidP="00811E8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2500-4999 employees</w:t>
            </w:r>
          </w:p>
        </w:tc>
        <w:tc>
          <w:tcPr>
            <w:tcW w:w="3458" w:type="dxa"/>
            <w:vAlign w:val="center"/>
          </w:tcPr>
          <w:p w14:paraId="728394FB" w14:textId="3FD55804" w:rsidR="00E121F1" w:rsidRDefault="000318A4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$6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660 + GST</w:t>
            </w:r>
          </w:p>
        </w:tc>
        <w:tc>
          <w:tcPr>
            <w:tcW w:w="3458" w:type="dxa"/>
            <w:vAlign w:val="center"/>
          </w:tcPr>
          <w:p w14:paraId="3CF75326" w14:textId="4394F21F" w:rsidR="00E121F1" w:rsidRDefault="000318A4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$5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040 + GST</w:t>
            </w:r>
          </w:p>
        </w:tc>
      </w:tr>
      <w:tr w:rsidR="009F5CC8" w14:paraId="0E52AB06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18EB00CE" w14:textId="54EA326B" w:rsidR="00E121F1" w:rsidRDefault="000318A4" w:rsidP="00811E8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5000-7499 employees</w:t>
            </w:r>
          </w:p>
        </w:tc>
        <w:tc>
          <w:tcPr>
            <w:tcW w:w="3458" w:type="dxa"/>
            <w:vAlign w:val="center"/>
          </w:tcPr>
          <w:p w14:paraId="0A8AA07A" w14:textId="769E5C61" w:rsidR="00E121F1" w:rsidRDefault="000318A4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</w:t>
            </w:r>
            <w:r w:rsidR="002E50D1">
              <w:rPr>
                <w:lang w:val="en-AU"/>
              </w:rPr>
              <w:t>8</w:t>
            </w:r>
            <w:r w:rsidR="00811E85">
              <w:rPr>
                <w:lang w:val="en-AU"/>
              </w:rPr>
              <w:t>,</w:t>
            </w:r>
            <w:r w:rsidR="002E50D1">
              <w:rPr>
                <w:lang w:val="en-AU"/>
              </w:rPr>
              <w:t>820 + GST</w:t>
            </w:r>
          </w:p>
        </w:tc>
        <w:tc>
          <w:tcPr>
            <w:tcW w:w="3458" w:type="dxa"/>
            <w:vAlign w:val="center"/>
          </w:tcPr>
          <w:p w14:paraId="033B204C" w14:textId="5A60832B" w:rsidR="00E121F1" w:rsidRDefault="002E50D1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$7</w:t>
            </w:r>
            <w:r w:rsidR="00811E85">
              <w:rPr>
                <w:lang w:val="en-AU"/>
              </w:rPr>
              <w:t>,</w:t>
            </w:r>
            <w:r>
              <w:rPr>
                <w:lang w:val="en-AU"/>
              </w:rPr>
              <w:t>380 + GST</w:t>
            </w:r>
          </w:p>
        </w:tc>
      </w:tr>
      <w:tr w:rsidR="009F5CC8" w14:paraId="619A2C4C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77BD0EF0" w14:textId="480E6A5D" w:rsidR="009F5CC8" w:rsidRDefault="009F5CC8" w:rsidP="00811E8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7500-9999 employees</w:t>
            </w:r>
          </w:p>
        </w:tc>
        <w:tc>
          <w:tcPr>
            <w:tcW w:w="3458" w:type="dxa"/>
            <w:vAlign w:val="center"/>
          </w:tcPr>
          <w:p w14:paraId="2AF3066C" w14:textId="38A5D998" w:rsidR="009F5CC8" w:rsidRDefault="009F5CC8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$11,466 + GST</w:t>
            </w:r>
          </w:p>
        </w:tc>
        <w:tc>
          <w:tcPr>
            <w:tcW w:w="3458" w:type="dxa"/>
            <w:vAlign w:val="center"/>
          </w:tcPr>
          <w:p w14:paraId="484A332D" w14:textId="112BDA40" w:rsidR="009F5CC8" w:rsidRDefault="009F5CC8" w:rsidP="00795671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$</w:t>
            </w:r>
            <w:r w:rsidR="00811E85">
              <w:rPr>
                <w:lang w:val="en-AU"/>
              </w:rPr>
              <w:t>9,594 + GST</w:t>
            </w:r>
          </w:p>
        </w:tc>
      </w:tr>
      <w:tr w:rsidR="009F5CC8" w14:paraId="02EBC1E4" w14:textId="77777777" w:rsidTr="71A5F359">
        <w:trPr>
          <w:trHeight w:val="397"/>
        </w:trPr>
        <w:tc>
          <w:tcPr>
            <w:tcW w:w="2778" w:type="dxa"/>
            <w:vAlign w:val="center"/>
          </w:tcPr>
          <w:p w14:paraId="57A74E75" w14:textId="04ACF4BD" w:rsidR="009F5CC8" w:rsidRDefault="00811E85" w:rsidP="00811E8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10,000+ employees</w:t>
            </w:r>
          </w:p>
        </w:tc>
        <w:tc>
          <w:tcPr>
            <w:tcW w:w="3458" w:type="dxa"/>
            <w:vAlign w:val="center"/>
          </w:tcPr>
          <w:p w14:paraId="4879D112" w14:textId="390EA28D" w:rsidR="009F5CC8" w:rsidRDefault="00811E85" w:rsidP="007F286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Please contact us</w:t>
            </w:r>
          </w:p>
        </w:tc>
        <w:tc>
          <w:tcPr>
            <w:tcW w:w="3458" w:type="dxa"/>
            <w:vAlign w:val="center"/>
          </w:tcPr>
          <w:p w14:paraId="04566EF8" w14:textId="31F8169D" w:rsidR="009F5CC8" w:rsidRDefault="00811E85" w:rsidP="007F2865">
            <w:pPr>
              <w:pStyle w:val="BodyText1"/>
              <w:spacing w:after="0"/>
              <w:rPr>
                <w:lang w:val="en-AU"/>
              </w:rPr>
            </w:pPr>
            <w:r>
              <w:rPr>
                <w:lang w:val="en-AU"/>
              </w:rPr>
              <w:t>Please contact us</w:t>
            </w:r>
          </w:p>
        </w:tc>
      </w:tr>
      <w:tr w:rsidR="007F2865" w14:paraId="64677E4A" w14:textId="77777777" w:rsidTr="71A5F359">
        <w:trPr>
          <w:trHeight w:val="340"/>
        </w:trPr>
        <w:tc>
          <w:tcPr>
            <w:tcW w:w="9694" w:type="dxa"/>
            <w:gridSpan w:val="3"/>
            <w:vAlign w:val="center"/>
          </w:tcPr>
          <w:p w14:paraId="31A00EE0" w14:textId="77027DA3" w:rsidR="007F2865" w:rsidRDefault="00856571" w:rsidP="006B4F4E">
            <w:pPr>
              <w:pStyle w:val="BodyText1"/>
              <w:spacing w:after="0"/>
              <w:rPr>
                <w:lang w:val="en-AU"/>
              </w:rPr>
            </w:pPr>
            <w:r w:rsidRPr="00856571">
              <w:rPr>
                <w:b/>
                <w:bCs/>
                <w:lang w:val="en-AU"/>
              </w:rPr>
              <w:t xml:space="preserve">Note: </w:t>
            </w:r>
            <w:r w:rsidRPr="00856571">
              <w:rPr>
                <w:lang w:val="en-AU"/>
              </w:rPr>
              <w:t>The above costs are for DCA Member organisations. If you are not a DCA member, please add 30%.</w:t>
            </w:r>
          </w:p>
        </w:tc>
      </w:tr>
    </w:tbl>
    <w:p w14:paraId="2F44C9ED" w14:textId="0B6918AC" w:rsidR="009E1389" w:rsidRDefault="00777A59" w:rsidP="006B4F4E">
      <w:pPr>
        <w:pStyle w:val="BodyTextContinued"/>
        <w:spacing w:before="120"/>
        <w:rPr>
          <w:lang w:val="en-AU"/>
        </w:rPr>
      </w:pPr>
      <w:r>
        <w:rPr>
          <w:lang w:val="en-AU"/>
        </w:rPr>
        <w:t>continued</w:t>
      </w:r>
    </w:p>
    <w:p w14:paraId="344C347B" w14:textId="18C0D83E" w:rsidR="000B3BD7" w:rsidRDefault="00386129" w:rsidP="000B3BD7">
      <w:pPr>
        <w:pStyle w:val="BodyText1"/>
        <w:rPr>
          <w:lang w:val="en-AU"/>
        </w:rPr>
      </w:pPr>
      <w:r w:rsidRPr="02EBD12C">
        <w:rPr>
          <w:lang w:val="en-AU"/>
        </w:rPr>
        <w:lastRenderedPageBreak/>
        <w:t xml:space="preserve">You must invite at least 65% of your total cohort </w:t>
      </w:r>
      <w:proofErr w:type="gramStart"/>
      <w:r w:rsidRPr="02EBD12C">
        <w:rPr>
          <w:lang w:val="en-AU"/>
        </w:rPr>
        <w:t>in order to</w:t>
      </w:r>
      <w:proofErr w:type="gramEnd"/>
      <w:r w:rsidRPr="02EBD12C">
        <w:rPr>
          <w:lang w:val="en-AU"/>
        </w:rPr>
        <w:t xml:space="preserve"> be eligible for the Inclusive Employer certification. As part of a privacy measure, the dashboard will not show any results unless </w:t>
      </w:r>
      <w:r w:rsidR="00700BE8">
        <w:rPr>
          <w:lang w:val="en-AU"/>
        </w:rPr>
        <w:t>25</w:t>
      </w:r>
      <w:r w:rsidRPr="02EBD12C">
        <w:rPr>
          <w:lang w:val="en-AU"/>
        </w:rPr>
        <w:t xml:space="preserve"> employees have taken the survey. Due to this, and for data to be meaningful, organisations must have at least 60 employees to participate in the Inclusive Employer Index.</w:t>
      </w:r>
    </w:p>
    <w:p w14:paraId="72DCD27E" w14:textId="1AEC8E3E" w:rsidR="02EBD12C" w:rsidRDefault="75737C8C" w:rsidP="02EBD12C">
      <w:pPr>
        <w:rPr>
          <w:b/>
          <w:bCs/>
          <w:sz w:val="24"/>
          <w:szCs w:val="24"/>
        </w:rPr>
      </w:pPr>
      <w:r w:rsidRPr="71A5F359">
        <w:rPr>
          <w:b/>
          <w:bCs/>
          <w:sz w:val="24"/>
          <w:szCs w:val="24"/>
        </w:rPr>
        <w:t xml:space="preserve">Early </w:t>
      </w:r>
      <w:proofErr w:type="gramStart"/>
      <w:r w:rsidRPr="71A5F359">
        <w:rPr>
          <w:b/>
          <w:bCs/>
          <w:sz w:val="24"/>
          <w:szCs w:val="24"/>
        </w:rPr>
        <w:t>bird offer</w:t>
      </w:r>
      <w:proofErr w:type="gramEnd"/>
    </w:p>
    <w:p w14:paraId="1D0406D9" w14:textId="3BF82A19" w:rsidR="001F4B7D" w:rsidRPr="001F4B7D" w:rsidRDefault="75737C8C" w:rsidP="71A5F359">
      <w:pPr>
        <w:pStyle w:val="Heading2"/>
        <w:spacing w:before="120"/>
        <w:rPr>
          <w:b w:val="0"/>
          <w:sz w:val="24"/>
          <w:szCs w:val="24"/>
        </w:rPr>
      </w:pPr>
      <w:r w:rsidRPr="71A5F359">
        <w:rPr>
          <w:b w:val="0"/>
          <w:sz w:val="24"/>
          <w:szCs w:val="24"/>
        </w:rPr>
        <w:t xml:space="preserve">Members and non-members can sign up early with a 10% discount from </w:t>
      </w:r>
      <w:r w:rsidR="3D1E7D58" w:rsidRPr="71A5F359">
        <w:rPr>
          <w:b w:val="0"/>
          <w:sz w:val="24"/>
          <w:szCs w:val="24"/>
        </w:rPr>
        <w:t xml:space="preserve">5 </w:t>
      </w:r>
      <w:r w:rsidRPr="71A5F359">
        <w:rPr>
          <w:b w:val="0"/>
          <w:sz w:val="24"/>
          <w:szCs w:val="24"/>
        </w:rPr>
        <w:t xml:space="preserve">March </w:t>
      </w:r>
      <w:r w:rsidR="52CFE27A" w:rsidRPr="71A5F359">
        <w:rPr>
          <w:b w:val="0"/>
          <w:sz w:val="24"/>
          <w:szCs w:val="24"/>
        </w:rPr>
        <w:t>-</w:t>
      </w:r>
      <w:r w:rsidRPr="71A5F359">
        <w:rPr>
          <w:b w:val="0"/>
          <w:sz w:val="24"/>
          <w:szCs w:val="24"/>
        </w:rPr>
        <w:t xml:space="preserve"> </w:t>
      </w:r>
      <w:r w:rsidR="3F198C52" w:rsidRPr="71A5F359">
        <w:rPr>
          <w:b w:val="0"/>
          <w:sz w:val="24"/>
          <w:szCs w:val="24"/>
        </w:rPr>
        <w:t xml:space="preserve">5 </w:t>
      </w:r>
      <w:r w:rsidRPr="71A5F359">
        <w:rPr>
          <w:b w:val="0"/>
          <w:sz w:val="24"/>
          <w:szCs w:val="24"/>
        </w:rPr>
        <w:t xml:space="preserve">April </w:t>
      </w:r>
      <w:r w:rsidR="3C7AB5B5" w:rsidRPr="71A5F359">
        <w:rPr>
          <w:b w:val="0"/>
          <w:sz w:val="24"/>
          <w:szCs w:val="24"/>
        </w:rPr>
        <w:t>2026</w:t>
      </w:r>
      <w:r w:rsidRPr="71A5F359">
        <w:rPr>
          <w:b w:val="0"/>
          <w:sz w:val="24"/>
          <w:szCs w:val="24"/>
        </w:rPr>
        <w:t xml:space="preserve">. Expressions of interest and payment must be completed by </w:t>
      </w:r>
      <w:r w:rsidR="03F99582" w:rsidRPr="71A5F359">
        <w:rPr>
          <w:b w:val="0"/>
          <w:sz w:val="24"/>
          <w:szCs w:val="24"/>
        </w:rPr>
        <w:t>5:00pm</w:t>
      </w:r>
      <w:r w:rsidR="45381328" w:rsidRPr="71A5F359">
        <w:rPr>
          <w:b w:val="0"/>
          <w:sz w:val="24"/>
          <w:szCs w:val="24"/>
        </w:rPr>
        <w:t xml:space="preserve"> </w:t>
      </w:r>
      <w:r w:rsidR="24F4BCAF" w:rsidRPr="71A5F359">
        <w:rPr>
          <w:b w:val="0"/>
          <w:sz w:val="24"/>
          <w:szCs w:val="24"/>
        </w:rPr>
        <w:t>(</w:t>
      </w:r>
      <w:r w:rsidR="45381328" w:rsidRPr="71A5F359">
        <w:rPr>
          <w:b w:val="0"/>
          <w:sz w:val="24"/>
          <w:szCs w:val="24"/>
        </w:rPr>
        <w:t>AE</w:t>
      </w:r>
      <w:r w:rsidR="0FB7C8FB" w:rsidRPr="71A5F359">
        <w:rPr>
          <w:b w:val="0"/>
          <w:sz w:val="24"/>
          <w:szCs w:val="24"/>
        </w:rPr>
        <w:t>S</w:t>
      </w:r>
      <w:r w:rsidR="45381328" w:rsidRPr="71A5F359">
        <w:rPr>
          <w:b w:val="0"/>
          <w:sz w:val="24"/>
          <w:szCs w:val="24"/>
        </w:rPr>
        <w:t>T</w:t>
      </w:r>
      <w:r w:rsidR="17F75972" w:rsidRPr="71A5F359">
        <w:rPr>
          <w:b w:val="0"/>
          <w:sz w:val="24"/>
          <w:szCs w:val="24"/>
        </w:rPr>
        <w:t>)</w:t>
      </w:r>
      <w:r w:rsidR="45381328" w:rsidRPr="71A5F359">
        <w:rPr>
          <w:b w:val="0"/>
          <w:sz w:val="24"/>
          <w:szCs w:val="24"/>
        </w:rPr>
        <w:t xml:space="preserve"> </w:t>
      </w:r>
      <w:r w:rsidR="446C6C68" w:rsidRPr="71A5F359">
        <w:rPr>
          <w:b w:val="0"/>
          <w:sz w:val="24"/>
          <w:szCs w:val="24"/>
        </w:rPr>
        <w:t xml:space="preserve">on </w:t>
      </w:r>
      <w:r w:rsidR="45381328" w:rsidRPr="71A5F359">
        <w:rPr>
          <w:b w:val="0"/>
          <w:sz w:val="24"/>
          <w:szCs w:val="24"/>
        </w:rPr>
        <w:t xml:space="preserve">30 </w:t>
      </w:r>
      <w:r w:rsidRPr="71A5F359">
        <w:rPr>
          <w:b w:val="0"/>
          <w:sz w:val="24"/>
          <w:szCs w:val="24"/>
        </w:rPr>
        <w:t xml:space="preserve">May </w:t>
      </w:r>
      <w:r w:rsidR="56F501E4" w:rsidRPr="71A5F359">
        <w:rPr>
          <w:b w:val="0"/>
          <w:sz w:val="24"/>
          <w:szCs w:val="24"/>
        </w:rPr>
        <w:t>2026</w:t>
      </w:r>
      <w:r w:rsidRPr="71A5F359">
        <w:rPr>
          <w:b w:val="0"/>
          <w:sz w:val="24"/>
          <w:szCs w:val="24"/>
        </w:rPr>
        <w:t>. Terms and conditions may change at our discretion.</w:t>
      </w:r>
    </w:p>
    <w:p w14:paraId="6ED0CF50" w14:textId="77777777" w:rsidR="001F4B7D" w:rsidRDefault="001F4B7D" w:rsidP="00386129">
      <w:pPr>
        <w:pStyle w:val="Heading2"/>
        <w:rPr>
          <w:sz w:val="24"/>
          <w:szCs w:val="24"/>
        </w:rPr>
      </w:pPr>
    </w:p>
    <w:p w14:paraId="2DBBCD64" w14:textId="3E877CF0" w:rsidR="00386129" w:rsidRDefault="00386129" w:rsidP="00386129">
      <w:pPr>
        <w:pStyle w:val="Heading2"/>
        <w:rPr>
          <w:lang w:val="en-AU"/>
        </w:rPr>
      </w:pPr>
      <w:r>
        <w:rPr>
          <w:lang w:val="en-AU"/>
        </w:rPr>
        <w:t>Survey administration</w:t>
      </w:r>
    </w:p>
    <w:p w14:paraId="233AE181" w14:textId="5150B53E" w:rsidR="00386129" w:rsidRDefault="00386129" w:rsidP="00386129">
      <w:pPr>
        <w:pStyle w:val="Heading3"/>
        <w:rPr>
          <w:lang w:val="en-AU"/>
        </w:rPr>
      </w:pPr>
      <w:r>
        <w:rPr>
          <w:lang w:val="en-AU"/>
        </w:rPr>
        <w:t>How is the survey sent out?</w:t>
      </w:r>
    </w:p>
    <w:p w14:paraId="5DD357A3" w14:textId="77777777" w:rsidR="00724528" w:rsidRDefault="00724528" w:rsidP="00724528">
      <w:pPr>
        <w:pStyle w:val="BodyText1"/>
        <w:rPr>
          <w:lang w:val="en-AU"/>
        </w:rPr>
      </w:pPr>
      <w:r w:rsidRPr="00724528">
        <w:rPr>
          <w:lang w:val="en-AU"/>
        </w:rPr>
        <w:t>The survey is already set up and only requires a survey link to be generated. Participating organisations use the</w:t>
      </w:r>
      <w:r>
        <w:rPr>
          <w:lang w:val="en-AU"/>
        </w:rPr>
        <w:t xml:space="preserve"> </w:t>
      </w:r>
      <w:r w:rsidRPr="00724528">
        <w:rPr>
          <w:lang w:val="en-AU"/>
        </w:rPr>
        <w:t>interactive dashboard to generate a survey link that is unique to their organisation and have control over how</w:t>
      </w:r>
      <w:r>
        <w:rPr>
          <w:lang w:val="en-AU"/>
        </w:rPr>
        <w:t xml:space="preserve"> </w:t>
      </w:r>
      <w:r w:rsidRPr="00724528">
        <w:rPr>
          <w:lang w:val="en-AU"/>
        </w:rPr>
        <w:t>the survey link is shared.</w:t>
      </w:r>
    </w:p>
    <w:p w14:paraId="017E5AE7" w14:textId="7585E147" w:rsidR="00724528" w:rsidRPr="00724528" w:rsidRDefault="00724528" w:rsidP="00724528">
      <w:pPr>
        <w:pStyle w:val="BodyText1"/>
        <w:rPr>
          <w:lang w:val="en-AU"/>
        </w:rPr>
      </w:pPr>
      <w:r w:rsidRPr="00724528">
        <w:rPr>
          <w:lang w:val="en-AU"/>
        </w:rPr>
        <w:t>Organisations that experience higher response rates report having a well-planned</w:t>
      </w:r>
      <w:r>
        <w:rPr>
          <w:lang w:val="en-AU"/>
        </w:rPr>
        <w:t xml:space="preserve"> </w:t>
      </w:r>
      <w:r w:rsidRPr="00724528">
        <w:rPr>
          <w:lang w:val="en-AU"/>
        </w:rPr>
        <w:t>communications strategy, using a mix of different communications methods (e.g., through emails to employees, in QR</w:t>
      </w:r>
      <w:r>
        <w:rPr>
          <w:lang w:val="en-AU"/>
        </w:rPr>
        <w:t xml:space="preserve"> </w:t>
      </w:r>
      <w:r w:rsidRPr="00724528">
        <w:rPr>
          <w:lang w:val="en-AU"/>
        </w:rPr>
        <w:t>codes or posters around office spaces, in intranet systems, or in online team chats, etc.).</w:t>
      </w:r>
    </w:p>
    <w:p w14:paraId="6771FD8C" w14:textId="77777777" w:rsidR="00724528" w:rsidRPr="00724528" w:rsidRDefault="00724528" w:rsidP="00724528">
      <w:pPr>
        <w:pStyle w:val="Heading3"/>
        <w:rPr>
          <w:lang w:val="en-AU"/>
        </w:rPr>
      </w:pPr>
      <w:r w:rsidRPr="00724528">
        <w:rPr>
          <w:lang w:val="en-AU"/>
        </w:rPr>
        <w:t>How long does the survey take to complete?</w:t>
      </w:r>
    </w:p>
    <w:p w14:paraId="1B18D574" w14:textId="375B6B4F" w:rsidR="00724528" w:rsidRPr="00724528" w:rsidRDefault="00724528" w:rsidP="00724528">
      <w:pPr>
        <w:pStyle w:val="BodyText1"/>
        <w:rPr>
          <w:lang w:val="en-AU"/>
        </w:rPr>
      </w:pPr>
      <w:r w:rsidRPr="00724528">
        <w:rPr>
          <w:lang w:val="en-AU"/>
        </w:rPr>
        <w:t>The survey take</w:t>
      </w:r>
      <w:r>
        <w:rPr>
          <w:lang w:val="en-AU"/>
        </w:rPr>
        <w:t>s</w:t>
      </w:r>
      <w:r w:rsidRPr="00724528">
        <w:rPr>
          <w:lang w:val="en-AU"/>
        </w:rPr>
        <w:t xml:space="preserve"> approximately 1</w:t>
      </w:r>
      <w:r>
        <w:rPr>
          <w:lang w:val="en-AU"/>
        </w:rPr>
        <w:t>4</w:t>
      </w:r>
      <w:r w:rsidRPr="00724528">
        <w:rPr>
          <w:lang w:val="en-AU"/>
        </w:rPr>
        <w:t xml:space="preserve"> minutes to complete and is both desktop and mobile optimised.</w:t>
      </w:r>
    </w:p>
    <w:p w14:paraId="22C1902B" w14:textId="77777777" w:rsidR="00724528" w:rsidRPr="00724528" w:rsidRDefault="00724528" w:rsidP="00724528">
      <w:pPr>
        <w:pStyle w:val="Heading3"/>
        <w:rPr>
          <w:lang w:val="en-AU"/>
        </w:rPr>
      </w:pPr>
      <w:r w:rsidRPr="00724528">
        <w:rPr>
          <w:lang w:val="en-AU"/>
        </w:rPr>
        <w:t>When will the survey be administered?</w:t>
      </w:r>
    </w:p>
    <w:p w14:paraId="6DFA61A4" w14:textId="132BC9E7" w:rsidR="00724528" w:rsidRPr="00724528" w:rsidRDefault="3B137133" w:rsidP="00724528">
      <w:pPr>
        <w:pStyle w:val="BodyText1"/>
        <w:rPr>
          <w:lang w:val="en-AU"/>
        </w:rPr>
      </w:pPr>
      <w:r w:rsidRPr="3B137133">
        <w:rPr>
          <w:lang w:val="en-AU"/>
        </w:rPr>
        <w:t xml:space="preserve">Participating organisations can choose any window between </w:t>
      </w:r>
      <w:r w:rsidR="00B0125A">
        <w:rPr>
          <w:lang w:val="en-AU"/>
        </w:rPr>
        <w:t xml:space="preserve">1 </w:t>
      </w:r>
      <w:r w:rsidRPr="3B137133">
        <w:rPr>
          <w:lang w:val="en-AU"/>
        </w:rPr>
        <w:t>July and 30 September 2026 in which to have their Index survey administered. The dashboard to review results is open until 31 December 2026.</w:t>
      </w:r>
    </w:p>
    <w:p w14:paraId="3980D1FB" w14:textId="77777777" w:rsidR="00724528" w:rsidRPr="00724528" w:rsidRDefault="00724528" w:rsidP="00724528">
      <w:pPr>
        <w:pStyle w:val="Heading3"/>
        <w:rPr>
          <w:lang w:val="en-AU"/>
        </w:rPr>
      </w:pPr>
      <w:r w:rsidRPr="00724528">
        <w:rPr>
          <w:lang w:val="en-AU"/>
        </w:rPr>
        <w:t>Can the survey be sent to our overseas offices?</w:t>
      </w:r>
    </w:p>
    <w:p w14:paraId="10D90017" w14:textId="505E2221" w:rsidR="00724528" w:rsidRPr="00724528" w:rsidRDefault="00724528" w:rsidP="00724528">
      <w:pPr>
        <w:pStyle w:val="BodyText1"/>
        <w:rPr>
          <w:lang w:val="en-AU"/>
        </w:rPr>
      </w:pPr>
      <w:r w:rsidRPr="00724528">
        <w:rPr>
          <w:lang w:val="en-AU"/>
        </w:rPr>
        <w:t>The survey questions were developed for the Australian workplace and reflect the Australian context. As such, we</w:t>
      </w:r>
      <w:r>
        <w:rPr>
          <w:lang w:val="en-AU"/>
        </w:rPr>
        <w:t xml:space="preserve"> </w:t>
      </w:r>
      <w:r w:rsidRPr="00724528">
        <w:rPr>
          <w:lang w:val="en-AU"/>
        </w:rPr>
        <w:t>recommend organisations only run the Index for employees located in Australia. In particular, the demographic</w:t>
      </w:r>
      <w:r>
        <w:rPr>
          <w:lang w:val="en-AU"/>
        </w:rPr>
        <w:t xml:space="preserve"> </w:t>
      </w:r>
      <w:r w:rsidRPr="00724528">
        <w:rPr>
          <w:lang w:val="en-AU"/>
        </w:rPr>
        <w:t>questions are reflective of the Australian context (e.g., the question on cultural background is difficult to use outside of</w:t>
      </w:r>
      <w:r>
        <w:rPr>
          <w:lang w:val="en-AU"/>
        </w:rPr>
        <w:t xml:space="preserve"> </w:t>
      </w:r>
      <w:r w:rsidRPr="00724528">
        <w:rPr>
          <w:lang w:val="en-AU"/>
        </w:rPr>
        <w:t>Australia) and may not be accurate or applicable for employees located in overseas offices.</w:t>
      </w:r>
    </w:p>
    <w:p w14:paraId="6FE52408" w14:textId="77777777" w:rsidR="00724528" w:rsidRPr="00724528" w:rsidRDefault="00724528" w:rsidP="00724528">
      <w:pPr>
        <w:pStyle w:val="Heading3"/>
        <w:rPr>
          <w:lang w:val="en-AU"/>
        </w:rPr>
      </w:pPr>
      <w:r w:rsidRPr="00724528">
        <w:rPr>
          <w:lang w:val="en-AU"/>
        </w:rPr>
        <w:t>Can I change the wording of the questions, or change any of the answers offered?</w:t>
      </w:r>
    </w:p>
    <w:p w14:paraId="328663F0" w14:textId="0FFFCBCD" w:rsidR="002E021A" w:rsidRPr="0066245D" w:rsidRDefault="00724528" w:rsidP="0066245D">
      <w:pPr>
        <w:pStyle w:val="BodyText1"/>
        <w:rPr>
          <w:lang w:val="en-AU"/>
        </w:rPr>
      </w:pPr>
      <w:r w:rsidRPr="00724528">
        <w:rPr>
          <w:lang w:val="en-AU"/>
        </w:rPr>
        <w:t xml:space="preserve">The survey is standardised to allow for benchmarking, meaning questions </w:t>
      </w:r>
      <w:proofErr w:type="gramStart"/>
      <w:r w:rsidRPr="00724528">
        <w:rPr>
          <w:lang w:val="en-AU"/>
        </w:rPr>
        <w:t>are not able to</w:t>
      </w:r>
      <w:proofErr w:type="gramEnd"/>
      <w:r w:rsidRPr="00724528">
        <w:rPr>
          <w:lang w:val="en-AU"/>
        </w:rPr>
        <w:t xml:space="preserve"> be changed or adapted.</w:t>
      </w:r>
      <w:r w:rsidR="004B1ECF">
        <w:rPr>
          <w:lang w:val="en-AU"/>
        </w:rPr>
        <w:t xml:space="preserve"> </w:t>
      </w:r>
      <w:r w:rsidRPr="00724528">
        <w:rPr>
          <w:lang w:val="en-AU"/>
        </w:rPr>
        <w:t>However, if you believe there is an error in either, please contact DCA.</w:t>
      </w:r>
      <w:r w:rsidR="002E021A">
        <w:rPr>
          <w:lang w:val="en-AU"/>
        </w:rPr>
        <w:br w:type="page"/>
      </w:r>
    </w:p>
    <w:p w14:paraId="3115DFDD" w14:textId="7053D6E4" w:rsidR="004B1ECF" w:rsidRDefault="004B1ECF" w:rsidP="004B1ECF">
      <w:pPr>
        <w:pStyle w:val="Heading3"/>
        <w:rPr>
          <w:lang w:val="en-AU"/>
        </w:rPr>
      </w:pPr>
      <w:r>
        <w:rPr>
          <w:lang w:val="en-AU"/>
        </w:rPr>
        <w:lastRenderedPageBreak/>
        <w:t>What are ‘groups’ and should we use them?</w:t>
      </w:r>
    </w:p>
    <w:p w14:paraId="4D8D4BFE" w14:textId="77777777" w:rsidR="002E021A" w:rsidRDefault="004B1ECF" w:rsidP="004B1ECF">
      <w:pPr>
        <w:pStyle w:val="BodyText1"/>
        <w:rPr>
          <w:lang w:val="en-AU"/>
        </w:rPr>
      </w:pPr>
      <w:r w:rsidRPr="004B1ECF">
        <w:rPr>
          <w:lang w:val="en-AU"/>
        </w:rPr>
        <w:t>The dashboard has an in-built function to allow participating organisations the ability to explore findings by different</w:t>
      </w:r>
      <w:r>
        <w:rPr>
          <w:lang w:val="en-AU"/>
        </w:rPr>
        <w:t xml:space="preserve"> </w:t>
      </w:r>
      <w:r w:rsidRPr="004B1ECF">
        <w:rPr>
          <w:lang w:val="en-AU"/>
        </w:rPr>
        <w:t xml:space="preserve">levels (e.g., employees in different business areas, departments, divisions). The decision as to </w:t>
      </w:r>
      <w:proofErr w:type="gramStart"/>
      <w:r w:rsidRPr="004B1ECF">
        <w:rPr>
          <w:lang w:val="en-AU"/>
        </w:rPr>
        <w:t>whether or not</w:t>
      </w:r>
      <w:proofErr w:type="gramEnd"/>
      <w:r w:rsidRPr="004B1ECF">
        <w:rPr>
          <w:lang w:val="en-AU"/>
        </w:rPr>
        <w:t xml:space="preserve"> to have</w:t>
      </w:r>
      <w:r>
        <w:rPr>
          <w:lang w:val="en-AU"/>
        </w:rPr>
        <w:t xml:space="preserve"> </w:t>
      </w:r>
      <w:r w:rsidRPr="004B1ECF">
        <w:rPr>
          <w:lang w:val="en-AU"/>
        </w:rPr>
        <w:t>groups is up to you - there is no right or wrong. Some organisations create groups by region (e.g., V</w:t>
      </w:r>
      <w:r>
        <w:rPr>
          <w:lang w:val="en-AU"/>
        </w:rPr>
        <w:t>IC</w:t>
      </w:r>
      <w:r w:rsidRPr="004B1ECF">
        <w:rPr>
          <w:lang w:val="en-AU"/>
        </w:rPr>
        <w:t>, NSW, etc.),</w:t>
      </w:r>
      <w:r>
        <w:rPr>
          <w:lang w:val="en-AU"/>
        </w:rPr>
        <w:t xml:space="preserve"> </w:t>
      </w:r>
      <w:r w:rsidRPr="004B1ECF">
        <w:rPr>
          <w:lang w:val="en-AU"/>
        </w:rPr>
        <w:t>some by Business Unit (e.g., IT, HR, Marketing, etc.), some by function (e.g., Legal, Non-legal) and some by level</w:t>
      </w:r>
      <w:r>
        <w:rPr>
          <w:lang w:val="en-AU"/>
        </w:rPr>
        <w:t xml:space="preserve"> </w:t>
      </w:r>
      <w:r w:rsidRPr="004B1ECF">
        <w:rPr>
          <w:lang w:val="en-AU"/>
        </w:rPr>
        <w:t>(e.g., Executive, Management, General Staff, etc.).</w:t>
      </w:r>
    </w:p>
    <w:p w14:paraId="0CA79BF0" w14:textId="77777777" w:rsidR="002E021A" w:rsidRDefault="004B1ECF" w:rsidP="004B1ECF">
      <w:pPr>
        <w:pStyle w:val="BodyText1"/>
        <w:rPr>
          <w:lang w:val="en-AU"/>
        </w:rPr>
      </w:pPr>
      <w:r w:rsidRPr="004B1ECF">
        <w:rPr>
          <w:lang w:val="en-AU"/>
        </w:rPr>
        <w:t>Some organisations do not create groups at all, preferring a ‘one</w:t>
      </w:r>
      <w:r w:rsidR="002E021A">
        <w:rPr>
          <w:lang w:val="en-AU"/>
        </w:rPr>
        <w:t>-</w:t>
      </w:r>
      <w:r w:rsidRPr="004B1ECF">
        <w:rPr>
          <w:lang w:val="en-AU"/>
        </w:rPr>
        <w:t>for-all’ approach.</w:t>
      </w:r>
    </w:p>
    <w:p w14:paraId="6350C365" w14:textId="1D868656" w:rsidR="004B1ECF" w:rsidRDefault="004B1ECF" w:rsidP="004B1ECF">
      <w:pPr>
        <w:pStyle w:val="BodyText1"/>
        <w:rPr>
          <w:lang w:val="en-AU"/>
        </w:rPr>
      </w:pPr>
      <w:r w:rsidRPr="004B1ECF">
        <w:rPr>
          <w:lang w:val="en-AU"/>
        </w:rPr>
        <w:t>As creating groups allows you to isolate data that are group-specific, it means a lot more data</w:t>
      </w:r>
      <w:r w:rsidR="002E021A">
        <w:rPr>
          <w:lang w:val="en-AU"/>
        </w:rPr>
        <w:t xml:space="preserve"> </w:t>
      </w:r>
      <w:r w:rsidRPr="004B1ECF">
        <w:rPr>
          <w:lang w:val="en-AU"/>
        </w:rPr>
        <w:t xml:space="preserve">to analyse but it also means more nuanced analysis is possible. As results cannot be isolated until the threshold of </w:t>
      </w:r>
      <w:r w:rsidR="009769FE">
        <w:rPr>
          <w:lang w:val="en-AU"/>
        </w:rPr>
        <w:t>25</w:t>
      </w:r>
      <w:r w:rsidR="002E021A">
        <w:rPr>
          <w:lang w:val="en-AU"/>
        </w:rPr>
        <w:t xml:space="preserve"> </w:t>
      </w:r>
      <w:r w:rsidRPr="004B1ECF">
        <w:rPr>
          <w:lang w:val="en-AU"/>
        </w:rPr>
        <w:t>responses is reached, our recommendation is to not create groups with less than 80 employees.</w:t>
      </w:r>
    </w:p>
    <w:p w14:paraId="25611CC2" w14:textId="47FF6387" w:rsidR="005364DD" w:rsidRDefault="005364DD" w:rsidP="005364DD">
      <w:pPr>
        <w:pStyle w:val="Heading2"/>
        <w:rPr>
          <w:lang w:val="en-AU"/>
        </w:rPr>
      </w:pPr>
      <w:r>
        <w:rPr>
          <w:lang w:val="en-AU"/>
        </w:rPr>
        <w:t>Confidentiality and security</w:t>
      </w:r>
    </w:p>
    <w:p w14:paraId="50D4E29E" w14:textId="04537377" w:rsidR="005364DD" w:rsidRDefault="005364DD" w:rsidP="005364DD">
      <w:pPr>
        <w:pStyle w:val="Heading3"/>
        <w:rPr>
          <w:bCs/>
          <w:lang w:val="en-AU"/>
        </w:rPr>
      </w:pPr>
      <w:r w:rsidRPr="005364DD">
        <w:rPr>
          <w:bCs/>
          <w:lang w:val="en-AU"/>
        </w:rPr>
        <w:t>Will other participating organisations receive information about how my organisation has</w:t>
      </w:r>
      <w:r>
        <w:rPr>
          <w:bCs/>
          <w:lang w:val="en-AU"/>
        </w:rPr>
        <w:t xml:space="preserve"> </w:t>
      </w:r>
      <w:r w:rsidRPr="005364DD">
        <w:rPr>
          <w:bCs/>
          <w:lang w:val="en-AU"/>
        </w:rPr>
        <w:t>performed?</w:t>
      </w:r>
    </w:p>
    <w:p w14:paraId="4806C4D4" w14:textId="62E082CF" w:rsidR="005364DD" w:rsidRDefault="005364DD" w:rsidP="005364DD">
      <w:pPr>
        <w:pStyle w:val="BodyText1"/>
        <w:rPr>
          <w:lang w:val="en-AU"/>
        </w:rPr>
      </w:pPr>
      <w:r w:rsidRPr="005364DD">
        <w:rPr>
          <w:lang w:val="en-AU"/>
        </w:rPr>
        <w:t>No other participating organisation will receive any information about how your individual organisation performed. Any</w:t>
      </w:r>
      <w:r>
        <w:rPr>
          <w:lang w:val="en-AU"/>
        </w:rPr>
        <w:t xml:space="preserve"> </w:t>
      </w:r>
      <w:r w:rsidRPr="005364DD">
        <w:rPr>
          <w:lang w:val="en-AU"/>
        </w:rPr>
        <w:t>comparison data that is provided (for example, data from your industry sector) will be fully aggregated and de</w:t>
      </w:r>
      <w:r>
        <w:rPr>
          <w:lang w:val="en-AU"/>
        </w:rPr>
        <w:t>-</w:t>
      </w:r>
      <w:r w:rsidRPr="005364DD">
        <w:rPr>
          <w:lang w:val="en-AU"/>
        </w:rPr>
        <w:t>identified.</w:t>
      </w:r>
      <w:r>
        <w:rPr>
          <w:lang w:val="en-AU"/>
        </w:rPr>
        <w:t xml:space="preserve"> </w:t>
      </w:r>
      <w:r w:rsidRPr="005364DD">
        <w:rPr>
          <w:lang w:val="en-AU"/>
        </w:rPr>
        <w:t>DCA will not publish individual organisation results, only aggregated results.</w:t>
      </w:r>
    </w:p>
    <w:p w14:paraId="030FC725" w14:textId="0BE95C0C" w:rsidR="00246FAA" w:rsidRDefault="00246FAA" w:rsidP="00246FAA">
      <w:pPr>
        <w:pStyle w:val="Heading3"/>
        <w:rPr>
          <w:lang w:val="en-AU"/>
        </w:rPr>
      </w:pPr>
      <w:r>
        <w:rPr>
          <w:lang w:val="en-AU"/>
        </w:rPr>
        <w:t>Our IT people are asking questions. What do I tell them?</w:t>
      </w:r>
    </w:p>
    <w:p w14:paraId="2C636851" w14:textId="1A0F146C" w:rsidR="00246FAA" w:rsidRPr="00246FAA" w:rsidRDefault="20E1CE7F" w:rsidP="00246FAA">
      <w:pPr>
        <w:pStyle w:val="ListBullet"/>
        <w:rPr>
          <w:lang w:val="en-AU"/>
        </w:rPr>
      </w:pPr>
      <w:r w:rsidRPr="41FA177E">
        <w:rPr>
          <w:lang w:val="en-AU"/>
        </w:rPr>
        <w:t>Cultural Infusion</w:t>
      </w:r>
      <w:r w:rsidR="00246FAA" w:rsidRPr="41FA177E">
        <w:rPr>
          <w:lang w:val="en-AU"/>
        </w:rPr>
        <w:t xml:space="preserve"> is ISO270001 Certified.</w:t>
      </w:r>
    </w:p>
    <w:p w14:paraId="7CA5B1A1" w14:textId="7F7E3D0D" w:rsidR="00246FAA" w:rsidRPr="00246FAA" w:rsidRDefault="00246FAA" w:rsidP="00246FAA">
      <w:pPr>
        <w:pStyle w:val="ListBullet"/>
        <w:rPr>
          <w:lang w:val="en-AU"/>
        </w:rPr>
      </w:pPr>
      <w:r>
        <w:rPr>
          <w:lang w:val="en-AU"/>
        </w:rPr>
        <w:t>T</w:t>
      </w:r>
      <w:r w:rsidRPr="00246FAA">
        <w:rPr>
          <w:lang w:val="en-AU"/>
        </w:rPr>
        <w:t>he survey is stored at the AWS cloud (Sydney).</w:t>
      </w:r>
    </w:p>
    <w:p w14:paraId="7B9C7541" w14:textId="5C3B9D84" w:rsidR="00246FAA" w:rsidRPr="00246FAA" w:rsidRDefault="00246FAA" w:rsidP="00246FAA">
      <w:pPr>
        <w:pStyle w:val="ListBullet"/>
        <w:rPr>
          <w:lang w:val="en-AU"/>
        </w:rPr>
      </w:pPr>
      <w:r w:rsidRPr="41FA177E">
        <w:rPr>
          <w:lang w:val="en-AU"/>
        </w:rPr>
        <w:t xml:space="preserve">The data does not sit on </w:t>
      </w:r>
      <w:r w:rsidR="05D90DC7" w:rsidRPr="41FA177E">
        <w:rPr>
          <w:lang w:val="en-AU"/>
        </w:rPr>
        <w:t>Cultural Infusion</w:t>
      </w:r>
      <w:r w:rsidRPr="41FA177E">
        <w:rPr>
          <w:lang w:val="en-AU"/>
        </w:rPr>
        <w:t>, DCA or customer servers.</w:t>
      </w:r>
    </w:p>
    <w:p w14:paraId="3C4B43E9" w14:textId="7D7B8442" w:rsidR="00246FAA" w:rsidRPr="00246FAA" w:rsidRDefault="00246FAA" w:rsidP="00246FAA">
      <w:pPr>
        <w:pStyle w:val="ListBullet"/>
        <w:rPr>
          <w:lang w:val="en-AU"/>
        </w:rPr>
      </w:pPr>
      <w:r w:rsidRPr="00246FAA">
        <w:rPr>
          <w:lang w:val="en-AU"/>
        </w:rPr>
        <w:t>The customer owns the data.</w:t>
      </w:r>
    </w:p>
    <w:p w14:paraId="2E7920E1" w14:textId="068DE2AC" w:rsidR="00246FAA" w:rsidRPr="00246FAA" w:rsidRDefault="00246FAA" w:rsidP="00246FAA">
      <w:pPr>
        <w:pStyle w:val="ListBullet"/>
        <w:rPr>
          <w:lang w:val="en-AU"/>
        </w:rPr>
      </w:pPr>
      <w:r w:rsidRPr="00246FAA">
        <w:rPr>
          <w:lang w:val="en-AU"/>
        </w:rPr>
        <w:t>All data is encrypted in transit and at rest.</w:t>
      </w:r>
    </w:p>
    <w:p w14:paraId="77EF2C67" w14:textId="0C3D9C5B" w:rsidR="00246FAA" w:rsidRPr="00246FAA" w:rsidRDefault="00246FAA" w:rsidP="00246FAA">
      <w:pPr>
        <w:pStyle w:val="ListBullet"/>
        <w:rPr>
          <w:lang w:val="en-AU"/>
        </w:rPr>
      </w:pPr>
      <w:r w:rsidRPr="00246FAA">
        <w:rPr>
          <w:lang w:val="en-AU"/>
        </w:rPr>
        <w:t>Data can be wiped upon request.</w:t>
      </w:r>
    </w:p>
    <w:p w14:paraId="5D14468D" w14:textId="32A4078E" w:rsidR="00246FAA" w:rsidRDefault="00246FAA" w:rsidP="00246FAA">
      <w:pPr>
        <w:pStyle w:val="ListBullet"/>
        <w:rPr>
          <w:lang w:val="en-AU"/>
        </w:rPr>
      </w:pPr>
      <w:r w:rsidRPr="00246FAA">
        <w:rPr>
          <w:lang w:val="en-AU"/>
        </w:rPr>
        <w:t>The platform is compliant with Australian Privacy Laws (and GDPR laws).</w:t>
      </w:r>
    </w:p>
    <w:p w14:paraId="54848E1B" w14:textId="508B45AD" w:rsidR="00B20F9D" w:rsidRDefault="3B137133" w:rsidP="00B20F9D">
      <w:pPr>
        <w:pStyle w:val="BodyText1"/>
        <w:rPr>
          <w:lang w:val="en-AU" w:eastAsia="en-GB"/>
        </w:rPr>
      </w:pPr>
      <w:r w:rsidRPr="3B137133">
        <w:rPr>
          <w:lang w:val="en-AU" w:eastAsia="en-GB"/>
        </w:rPr>
        <w:t>The site that must be on their allow-list is:</w:t>
      </w:r>
      <w:r w:rsidR="00E556C5">
        <w:rPr>
          <w:lang w:val="en-AU" w:eastAsia="en-GB"/>
        </w:rPr>
        <w:t xml:space="preserve"> </w:t>
      </w:r>
      <w:hyperlink r:id="rId18" w:history="1">
        <w:r w:rsidR="001F4B7D" w:rsidRPr="001F4B7D">
          <w:rPr>
            <w:rStyle w:val="Hyperlink"/>
            <w:rFonts w:ascii="Arial" w:hAnsi="Arial"/>
            <w:sz w:val="24"/>
            <w:lang w:val="en-AU" w:eastAsia="en-GB"/>
          </w:rPr>
          <w:t>http://au.dca.culturalinfusion.com/</w:t>
        </w:r>
      </w:hyperlink>
    </w:p>
    <w:p w14:paraId="16FC12B8" w14:textId="30127AB5" w:rsidR="00B20F9D" w:rsidRDefault="00B20F9D" w:rsidP="00B20F9D">
      <w:pPr>
        <w:pStyle w:val="BodyText1"/>
        <w:rPr>
          <w:lang w:val="en-AU" w:eastAsia="en-GB"/>
        </w:rPr>
      </w:pPr>
      <w:r w:rsidRPr="290554CE">
        <w:rPr>
          <w:lang w:val="en-AU" w:eastAsia="en-GB"/>
        </w:rPr>
        <w:t xml:space="preserve">For many customers, the above information is enough to keep IT happy, however if they require further information, please contact </w:t>
      </w:r>
      <w:r w:rsidR="7E12D87B" w:rsidRPr="290554CE">
        <w:rPr>
          <w:lang w:val="en-AU" w:eastAsia="en-GB"/>
        </w:rPr>
        <w:t>your DCA Member Engagement Team</w:t>
      </w:r>
      <w:r w:rsidRPr="290554CE">
        <w:rPr>
          <w:lang w:val="en-AU" w:eastAsia="en-GB"/>
        </w:rPr>
        <w:t xml:space="preserve"> (see contact details on following page).</w:t>
      </w:r>
    </w:p>
    <w:p w14:paraId="587A6B65" w14:textId="21F6883D" w:rsidR="00B20F9D" w:rsidRDefault="00B20F9D" w:rsidP="00B20F9D">
      <w:pPr>
        <w:pStyle w:val="Heading3"/>
        <w:rPr>
          <w:lang w:val="en-AU" w:eastAsia="en-GB"/>
        </w:rPr>
      </w:pPr>
      <w:r>
        <w:rPr>
          <w:lang w:val="en-AU" w:eastAsia="en-GB"/>
        </w:rPr>
        <w:br w:type="page"/>
      </w:r>
      <w:r>
        <w:rPr>
          <w:lang w:val="en-AU" w:eastAsia="en-GB"/>
        </w:rPr>
        <w:lastRenderedPageBreak/>
        <w:t>Who owns the data?</w:t>
      </w:r>
    </w:p>
    <w:p w14:paraId="5544BE65" w14:textId="249F5986" w:rsidR="00B20F9D" w:rsidRDefault="007C1AE9" w:rsidP="007C1AE9">
      <w:pPr>
        <w:pStyle w:val="BodyText1"/>
        <w:rPr>
          <w:lang w:val="en-AU" w:eastAsia="en-GB"/>
        </w:rPr>
      </w:pPr>
      <w:r w:rsidRPr="290554CE">
        <w:rPr>
          <w:lang w:val="en-AU" w:eastAsia="en-GB"/>
        </w:rPr>
        <w:t xml:space="preserve">As the customer, you own your data. The survey is conducted online via a link sent to your organisation’s employees (set up by you), hosted, and managed by the </w:t>
      </w:r>
      <w:r w:rsidR="6F9FFA24" w:rsidRPr="290554CE">
        <w:rPr>
          <w:lang w:val="en-AU" w:eastAsia="en-GB"/>
        </w:rPr>
        <w:t>Cultural Infusion</w:t>
      </w:r>
      <w:r w:rsidRPr="290554CE">
        <w:rPr>
          <w:lang w:val="en-AU" w:eastAsia="en-GB"/>
        </w:rPr>
        <w:t xml:space="preserve"> platform. All data is stored on the AWS cloud (Sydney) and does not reside on either </w:t>
      </w:r>
      <w:r w:rsidR="3659541E" w:rsidRPr="290554CE">
        <w:rPr>
          <w:lang w:val="en-AU" w:eastAsia="en-GB"/>
        </w:rPr>
        <w:t>Cultural Infusion</w:t>
      </w:r>
      <w:r w:rsidRPr="290554CE">
        <w:rPr>
          <w:lang w:val="en-AU" w:eastAsia="en-GB"/>
        </w:rPr>
        <w:t xml:space="preserve">, DCA or customer servers. </w:t>
      </w:r>
      <w:r w:rsidR="58775660" w:rsidRPr="290554CE">
        <w:rPr>
          <w:lang w:val="en-AU" w:eastAsia="en-GB"/>
        </w:rPr>
        <w:t>Cultural Infusion</w:t>
      </w:r>
      <w:r w:rsidRPr="290554CE">
        <w:rPr>
          <w:lang w:val="en-AU" w:eastAsia="en-GB"/>
        </w:rPr>
        <w:t xml:space="preserve"> and DCA do not have access to your staff contact details.</w:t>
      </w:r>
    </w:p>
    <w:p w14:paraId="1A2A42D1" w14:textId="7A1B75A3" w:rsidR="007C1AE9" w:rsidRDefault="007C1AE9" w:rsidP="007C1AE9">
      <w:pPr>
        <w:pStyle w:val="Heading2"/>
        <w:rPr>
          <w:lang w:val="en-AU" w:eastAsia="en-GB"/>
        </w:rPr>
      </w:pPr>
      <w:r>
        <w:rPr>
          <w:lang w:val="en-AU" w:eastAsia="en-GB"/>
        </w:rPr>
        <w:t>What are our next steps to participate?</w:t>
      </w:r>
    </w:p>
    <w:p w14:paraId="43385E8E" w14:textId="1A1A168F" w:rsidR="002F357F" w:rsidRDefault="002F357F" w:rsidP="002F357F">
      <w:pPr>
        <w:pStyle w:val="BodyText1"/>
        <w:rPr>
          <w:lang w:val="en-AU" w:eastAsia="en-GB"/>
        </w:rPr>
      </w:pPr>
      <w:r w:rsidRPr="290554CE">
        <w:rPr>
          <w:lang w:val="en-AU" w:eastAsia="en-GB"/>
        </w:rPr>
        <w:t xml:space="preserve">Intention to register should be communicated to </w:t>
      </w:r>
      <w:hyperlink r:id="rId19" w:history="1">
        <w:r w:rsidR="00904B94" w:rsidRPr="009217F5">
          <w:rPr>
            <w:rStyle w:val="Hyperlink"/>
            <w:rFonts w:ascii="Arial" w:hAnsi="Arial"/>
            <w:sz w:val="24"/>
            <w:lang w:val="en-AU" w:eastAsia="en-GB"/>
          </w:rPr>
          <w:t>Memberservices@dca.org.au</w:t>
        </w:r>
      </w:hyperlink>
      <w:r w:rsidR="00904B94">
        <w:rPr>
          <w:lang w:val="en-AU" w:eastAsia="en-GB"/>
        </w:rPr>
        <w:t xml:space="preserve">. </w:t>
      </w:r>
      <w:r w:rsidRPr="290554CE">
        <w:rPr>
          <w:lang w:val="en-AU" w:eastAsia="en-GB"/>
        </w:rPr>
        <w:t>The</w:t>
      </w:r>
      <w:r w:rsidR="6F819E2D" w:rsidRPr="290554CE">
        <w:rPr>
          <w:lang w:val="en-AU" w:eastAsia="en-GB"/>
        </w:rPr>
        <w:t xml:space="preserve"> team</w:t>
      </w:r>
      <w:r w:rsidRPr="290554CE">
        <w:rPr>
          <w:lang w:val="en-AU" w:eastAsia="en-GB"/>
        </w:rPr>
        <w:t xml:space="preserve"> will need to know the size of your cohort and your invoicing details, including correct organisation name, postal address, phone number and relevant contacts. Once established, </w:t>
      </w:r>
      <w:r w:rsidR="5356EAE1" w:rsidRPr="290554CE">
        <w:rPr>
          <w:lang w:val="en-AU" w:eastAsia="en-GB"/>
        </w:rPr>
        <w:t>DCA</w:t>
      </w:r>
      <w:r w:rsidRPr="290554CE">
        <w:rPr>
          <w:lang w:val="en-AU" w:eastAsia="en-GB"/>
        </w:rPr>
        <w:t xml:space="preserve"> will forward an invoice.</w:t>
      </w:r>
    </w:p>
    <w:p w14:paraId="77A21BB8" w14:textId="5219322F" w:rsidR="00D610D0" w:rsidRDefault="002F357F" w:rsidP="002F357F">
      <w:pPr>
        <w:pStyle w:val="BodyText1"/>
        <w:rPr>
          <w:lang w:val="en-AU" w:eastAsia="en-GB"/>
        </w:rPr>
      </w:pPr>
      <w:r w:rsidRPr="002F357F">
        <w:rPr>
          <w:lang w:val="en-AU" w:eastAsia="en-GB"/>
        </w:rPr>
        <w:t>Once the invoice is paid, the next steps can be taken to participate.</w:t>
      </w:r>
    </w:p>
    <w:p w14:paraId="2BA71C7A" w14:textId="77777777" w:rsidR="00D610D0" w:rsidRDefault="00D610D0">
      <w:pPr>
        <w:rPr>
          <w:sz w:val="24"/>
          <w:lang w:val="en-AU" w:eastAsia="en-GB"/>
        </w:rPr>
      </w:pPr>
      <w:r>
        <w:rPr>
          <w:lang w:val="en-AU" w:eastAsia="en-GB"/>
        </w:rPr>
        <w:br w:type="page"/>
      </w:r>
    </w:p>
    <w:p w14:paraId="59EF72EF" w14:textId="1F86625C" w:rsidR="007C1AE9" w:rsidRDefault="00D610D0" w:rsidP="00D610D0">
      <w:pPr>
        <w:pStyle w:val="Heading2"/>
        <w:rPr>
          <w:lang w:val="en-AU" w:eastAsia="en-GB"/>
        </w:rPr>
      </w:pPr>
      <w:r>
        <w:rPr>
          <w:lang w:val="en-AU" w:eastAsia="en-GB"/>
        </w:rPr>
        <w:lastRenderedPageBreak/>
        <w:t>Appendix: DCA definitions of Diversity and Inclusion</w:t>
      </w:r>
    </w:p>
    <w:p w14:paraId="0A56F894" w14:textId="77777777" w:rsidR="00D610D0" w:rsidRDefault="00D610D0" w:rsidP="00D610D0">
      <w:pPr>
        <w:pStyle w:val="Heading3"/>
        <w:rPr>
          <w:lang w:val="en-AU" w:eastAsia="en-GB"/>
        </w:rPr>
      </w:pPr>
      <w:r>
        <w:rPr>
          <w:lang w:val="en-AU" w:eastAsia="en-GB"/>
        </w:rPr>
        <w:t>Diversity</w:t>
      </w:r>
    </w:p>
    <w:p w14:paraId="0114B8E2" w14:textId="175F7CC7" w:rsidR="00D610D0" w:rsidRPr="00D610D0" w:rsidRDefault="00D610D0" w:rsidP="00D610D0">
      <w:pPr>
        <w:pStyle w:val="BodyText1"/>
        <w:rPr>
          <w:lang w:val="en-AU" w:eastAsia="en-GB"/>
        </w:rPr>
      </w:pPr>
      <w:r w:rsidRPr="00D610D0">
        <w:rPr>
          <w:lang w:val="en-AU" w:eastAsia="en-GB"/>
        </w:rPr>
        <w:t>Diversity refers to all the differences between people in how they identify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 xml:space="preserve">in relation to their </w:t>
      </w:r>
      <w:r>
        <w:rPr>
          <w:lang w:val="en-AU" w:eastAsia="en-GB"/>
        </w:rPr>
        <w:t>s</w:t>
      </w:r>
      <w:r w:rsidRPr="00D610D0">
        <w:rPr>
          <w:lang w:val="en-AU" w:eastAsia="en-GB"/>
        </w:rPr>
        <w:t xml:space="preserve">ocial </w:t>
      </w:r>
      <w:r>
        <w:rPr>
          <w:lang w:val="en-AU" w:eastAsia="en-GB"/>
        </w:rPr>
        <w:t>i</w:t>
      </w:r>
      <w:r w:rsidRPr="00D610D0">
        <w:rPr>
          <w:lang w:val="en-AU" w:eastAsia="en-GB"/>
        </w:rPr>
        <w:t>dentit</w:t>
      </w:r>
      <w:r>
        <w:rPr>
          <w:lang w:val="en-AU" w:eastAsia="en-GB"/>
        </w:rPr>
        <w:t>y (</w:t>
      </w:r>
      <w:r w:rsidRPr="00D610D0">
        <w:rPr>
          <w:lang w:val="en-AU" w:eastAsia="en-GB"/>
        </w:rPr>
        <w:t>that is</w:t>
      </w:r>
      <w:r>
        <w:rPr>
          <w:lang w:val="en-AU" w:eastAsia="en-GB"/>
        </w:rPr>
        <w:t>,</w:t>
      </w:r>
      <w:r w:rsidRPr="00D610D0">
        <w:rPr>
          <w:lang w:val="en-AU" w:eastAsia="en-GB"/>
        </w:rPr>
        <w:t xml:space="preserve"> their Aboriginal and/or Torres Strait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>Islander background, age, caring responsibilities, cultural background,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>disability, gender, LGBTIQ+ status, and socio-economic background</w:t>
      </w:r>
      <w:r>
        <w:rPr>
          <w:lang w:val="en-AU" w:eastAsia="en-GB"/>
        </w:rPr>
        <w:t>)</w:t>
      </w:r>
      <w:r w:rsidRPr="00D610D0">
        <w:rPr>
          <w:lang w:val="en-AU" w:eastAsia="en-GB"/>
        </w:rPr>
        <w:t>,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 xml:space="preserve">and their </w:t>
      </w:r>
      <w:r>
        <w:rPr>
          <w:lang w:val="en-AU" w:eastAsia="en-GB"/>
        </w:rPr>
        <w:t>p</w:t>
      </w:r>
      <w:r w:rsidRPr="00D610D0">
        <w:rPr>
          <w:lang w:val="en-AU" w:eastAsia="en-GB"/>
        </w:rPr>
        <w:t>rofessional Identity</w:t>
      </w:r>
      <w:r>
        <w:rPr>
          <w:lang w:val="en-AU" w:eastAsia="en-GB"/>
        </w:rPr>
        <w:t xml:space="preserve"> (</w:t>
      </w:r>
      <w:r w:rsidRPr="00D610D0">
        <w:rPr>
          <w:lang w:val="en-AU" w:eastAsia="en-GB"/>
        </w:rPr>
        <w:t>that is</w:t>
      </w:r>
      <w:r>
        <w:rPr>
          <w:lang w:val="en-AU" w:eastAsia="en-GB"/>
        </w:rPr>
        <w:t>,</w:t>
      </w:r>
      <w:r w:rsidRPr="00D610D0">
        <w:rPr>
          <w:lang w:val="en-AU" w:eastAsia="en-GB"/>
        </w:rPr>
        <w:t xml:space="preserve"> their profession, education, work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>experiences, and organisational role</w:t>
      </w:r>
      <w:r>
        <w:rPr>
          <w:lang w:val="en-AU" w:eastAsia="en-GB"/>
        </w:rPr>
        <w:t>)</w:t>
      </w:r>
      <w:r w:rsidRPr="00D610D0">
        <w:rPr>
          <w:lang w:val="en-AU" w:eastAsia="en-GB"/>
        </w:rPr>
        <w:t>.</w:t>
      </w:r>
    </w:p>
    <w:p w14:paraId="13055400" w14:textId="76F937D9" w:rsidR="00D610D0" w:rsidRPr="00D610D0" w:rsidRDefault="00D610D0" w:rsidP="00D610D0">
      <w:pPr>
        <w:pStyle w:val="Heading3"/>
        <w:rPr>
          <w:lang w:val="en-AU" w:eastAsia="en-GB"/>
        </w:rPr>
      </w:pPr>
      <w:r w:rsidRPr="00D610D0">
        <w:rPr>
          <w:lang w:val="en-AU" w:eastAsia="en-GB"/>
        </w:rPr>
        <w:t>Inclusion</w:t>
      </w:r>
    </w:p>
    <w:p w14:paraId="309EED48" w14:textId="0A267BB7" w:rsidR="00D610D0" w:rsidRPr="00D610D0" w:rsidRDefault="00D610D0" w:rsidP="00D610D0">
      <w:pPr>
        <w:pStyle w:val="BodyText1"/>
        <w:rPr>
          <w:lang w:val="en-AU" w:eastAsia="en-GB"/>
        </w:rPr>
      </w:pPr>
      <w:r w:rsidRPr="00D610D0">
        <w:rPr>
          <w:lang w:val="en-AU" w:eastAsia="en-GB"/>
        </w:rPr>
        <w:t>Inclusion is getting this mix to work – creating an environment where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 xml:space="preserve">a diversity of people </w:t>
      </w:r>
      <w:proofErr w:type="gramStart"/>
      <w:r w:rsidRPr="00D610D0">
        <w:rPr>
          <w:lang w:val="en-AU" w:eastAsia="en-GB"/>
        </w:rPr>
        <w:t>are</w:t>
      </w:r>
      <w:proofErr w:type="gramEnd"/>
      <w:r w:rsidRPr="00D610D0">
        <w:rPr>
          <w:lang w:val="en-AU" w:eastAsia="en-GB"/>
        </w:rPr>
        <w:t xml:space="preserve"> respected, connected, and progressing and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>contributing to their organisation’s success.</w:t>
      </w:r>
    </w:p>
    <w:p w14:paraId="47D96A09" w14:textId="10CB30CB" w:rsidR="00D610D0" w:rsidRPr="00D610D0" w:rsidRDefault="00DB3B7A" w:rsidP="00D610D0">
      <w:pPr>
        <w:pStyle w:val="BodyText1"/>
        <w:rPr>
          <w:lang w:val="en-AU" w:eastAsia="en-GB"/>
        </w:rPr>
      </w:pPr>
      <w:r>
        <w:rPr>
          <w:noProof/>
          <w:lang w:val="en-AU" w:eastAsia="en-GB"/>
        </w:rPr>
        <w:drawing>
          <wp:anchor distT="0" distB="0" distL="114300" distR="114300" simplePos="0" relativeHeight="251658241" behindDoc="0" locked="0" layoutInCell="1" allowOverlap="1" wp14:anchorId="334078A9" wp14:editId="7F134C5F">
            <wp:simplePos x="0" y="0"/>
            <wp:positionH relativeFrom="column">
              <wp:posOffset>3723640</wp:posOffset>
            </wp:positionH>
            <wp:positionV relativeFrom="paragraph">
              <wp:posOffset>420370</wp:posOffset>
            </wp:positionV>
            <wp:extent cx="2714625" cy="2714625"/>
            <wp:effectExtent l="0" t="0" r="9525" b="9525"/>
            <wp:wrapSquare wrapText="bothSides"/>
            <wp:docPr id="239689628" name="Picture 4" descr="A circle diagram with the word inclusion in the center, and around it 'respected, connect, progressing and contributing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89628" name="Picture 4" descr="A circle diagram with the word inclusion in the center, and around it 'respected, connect, progressing and contributing'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0D0" w:rsidRPr="00D610D0">
        <w:rPr>
          <w:lang w:val="en-AU" w:eastAsia="en-GB"/>
        </w:rPr>
        <w:t>Inclusion occurs when a diversity of people (i.e. from different ages, gender</w:t>
      </w:r>
      <w:r w:rsidR="00D610D0">
        <w:rPr>
          <w:lang w:val="en-AU" w:eastAsia="en-GB"/>
        </w:rPr>
        <w:t xml:space="preserve"> </w:t>
      </w:r>
      <w:r w:rsidR="00D610D0" w:rsidRPr="00D610D0">
        <w:rPr>
          <w:lang w:val="en-AU" w:eastAsia="en-GB"/>
        </w:rPr>
        <w:t>etc.)</w:t>
      </w:r>
      <w:r>
        <w:rPr>
          <w:lang w:val="en-AU" w:eastAsia="en-GB"/>
        </w:rPr>
        <w:t xml:space="preserve"> feel that they are</w:t>
      </w:r>
      <w:r w:rsidR="00D610D0" w:rsidRPr="00D610D0">
        <w:rPr>
          <w:lang w:val="en-AU" w:eastAsia="en-GB"/>
        </w:rPr>
        <w:t>:</w:t>
      </w:r>
    </w:p>
    <w:p w14:paraId="7AC5B674" w14:textId="27E9ED6C" w:rsidR="00D610D0" w:rsidRPr="00D610D0" w:rsidRDefault="00D610D0" w:rsidP="009E7857">
      <w:pPr>
        <w:pStyle w:val="ListBullet"/>
        <w:rPr>
          <w:lang w:val="en-AU" w:eastAsia="en-GB"/>
        </w:rPr>
      </w:pPr>
      <w:r w:rsidRPr="00D610D0">
        <w:rPr>
          <w:b/>
          <w:bCs/>
          <w:lang w:val="en-AU" w:eastAsia="en-GB"/>
        </w:rPr>
        <w:t>Respected</w:t>
      </w:r>
      <w:r w:rsidRPr="00D610D0">
        <w:rPr>
          <w:lang w:val="en-AU" w:eastAsia="en-GB"/>
        </w:rPr>
        <w:t xml:space="preserve">. Inclusion occurs when a diversity of people at work </w:t>
      </w:r>
      <w:proofErr w:type="gramStart"/>
      <w:r w:rsidRPr="00D610D0">
        <w:rPr>
          <w:lang w:val="en-AU" w:eastAsia="en-GB"/>
        </w:rPr>
        <w:t>feel</w:t>
      </w:r>
      <w:proofErr w:type="gramEnd"/>
      <w:r w:rsidRPr="00D610D0">
        <w:rPr>
          <w:lang w:val="en-AU" w:eastAsia="en-GB"/>
        </w:rPr>
        <w:t xml:space="preserve"> valued and respected for who they are.</w:t>
      </w:r>
    </w:p>
    <w:p w14:paraId="1E9CDDE4" w14:textId="679B7607" w:rsidR="00D610D0" w:rsidRPr="00D610D0" w:rsidRDefault="00D610D0" w:rsidP="009E7857">
      <w:pPr>
        <w:pStyle w:val="ListBullet"/>
        <w:rPr>
          <w:lang w:val="en-AU" w:eastAsia="en-GB"/>
        </w:rPr>
      </w:pPr>
      <w:r w:rsidRPr="00D610D0">
        <w:rPr>
          <w:b/>
          <w:bCs/>
          <w:lang w:val="en-AU" w:eastAsia="en-GB"/>
        </w:rPr>
        <w:t>Connected</w:t>
      </w:r>
      <w:r w:rsidRPr="00D610D0">
        <w:rPr>
          <w:lang w:val="en-AU" w:eastAsia="en-GB"/>
        </w:rPr>
        <w:t xml:space="preserve">. Inclusion occurs when a diversity of people </w:t>
      </w:r>
      <w:proofErr w:type="gramStart"/>
      <w:r w:rsidRPr="00D610D0">
        <w:rPr>
          <w:lang w:val="en-AU" w:eastAsia="en-GB"/>
        </w:rPr>
        <w:t>feel</w:t>
      </w:r>
      <w:proofErr w:type="gramEnd"/>
      <w:r w:rsidRPr="00D610D0">
        <w:rPr>
          <w:lang w:val="en-AU" w:eastAsia="en-GB"/>
        </w:rPr>
        <w:t xml:space="preserve"> connected to their co-</w:t>
      </w:r>
      <w:r>
        <w:rPr>
          <w:lang w:val="en-AU" w:eastAsia="en-GB"/>
        </w:rPr>
        <w:t>w</w:t>
      </w:r>
      <w:r w:rsidRPr="00D610D0">
        <w:rPr>
          <w:lang w:val="en-AU" w:eastAsia="en-GB"/>
        </w:rPr>
        <w:t>orker</w:t>
      </w:r>
      <w:r>
        <w:rPr>
          <w:lang w:val="en-AU" w:eastAsia="en-GB"/>
        </w:rPr>
        <w:t>s</w:t>
      </w:r>
      <w:r w:rsidRPr="00D610D0">
        <w:rPr>
          <w:lang w:val="en-AU" w:eastAsia="en-GB"/>
        </w:rPr>
        <w:t>, treated as an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>insider, and so have a sense of belonging.</w:t>
      </w:r>
    </w:p>
    <w:p w14:paraId="306A9333" w14:textId="4D395369" w:rsidR="00D610D0" w:rsidRPr="00D610D0" w:rsidRDefault="00D610D0" w:rsidP="009E7857">
      <w:pPr>
        <w:pStyle w:val="ListBullet"/>
        <w:rPr>
          <w:lang w:val="en-AU" w:eastAsia="en-GB"/>
        </w:rPr>
      </w:pPr>
      <w:r w:rsidRPr="00D610D0">
        <w:rPr>
          <w:b/>
          <w:bCs/>
          <w:lang w:val="en-AU" w:eastAsia="en-GB"/>
        </w:rPr>
        <w:t xml:space="preserve">Progressing. </w:t>
      </w:r>
      <w:r w:rsidRPr="00D610D0">
        <w:rPr>
          <w:lang w:val="en-AU" w:eastAsia="en-GB"/>
        </w:rPr>
        <w:t xml:space="preserve">Inclusion occurs when a diversity of people at work </w:t>
      </w:r>
      <w:proofErr w:type="gramStart"/>
      <w:r w:rsidRPr="00D610D0">
        <w:rPr>
          <w:lang w:val="en-AU" w:eastAsia="en-GB"/>
        </w:rPr>
        <w:t>have</w:t>
      </w:r>
      <w:proofErr w:type="gramEnd"/>
      <w:r w:rsidRPr="00D610D0">
        <w:rPr>
          <w:lang w:val="en-AU" w:eastAsia="en-GB"/>
        </w:rPr>
        <w:t xml:space="preserve"> opportunities to develop their career</w:t>
      </w:r>
      <w:r>
        <w:rPr>
          <w:lang w:val="en-AU" w:eastAsia="en-GB"/>
        </w:rPr>
        <w:t xml:space="preserve">, </w:t>
      </w:r>
      <w:r w:rsidRPr="00D610D0">
        <w:rPr>
          <w:lang w:val="en-AU" w:eastAsia="en-GB"/>
        </w:rPr>
        <w:t>and</w:t>
      </w:r>
    </w:p>
    <w:p w14:paraId="40E50727" w14:textId="15F5CA76" w:rsidR="00D610D0" w:rsidRPr="007C1AE9" w:rsidRDefault="00D610D0" w:rsidP="009E7857">
      <w:pPr>
        <w:pStyle w:val="ListBullet"/>
        <w:rPr>
          <w:lang w:val="en-AU" w:eastAsia="en-GB"/>
        </w:rPr>
      </w:pPr>
      <w:r w:rsidRPr="00D610D0">
        <w:rPr>
          <w:b/>
          <w:bCs/>
          <w:lang w:val="en-AU" w:eastAsia="en-GB"/>
        </w:rPr>
        <w:t xml:space="preserve">Contributing. </w:t>
      </w:r>
      <w:r w:rsidRPr="00D610D0">
        <w:rPr>
          <w:lang w:val="en-AU" w:eastAsia="en-GB"/>
        </w:rPr>
        <w:t>Inclusion occurs when a diversity of people can contribute their talents and energies to the</w:t>
      </w:r>
      <w:r>
        <w:rPr>
          <w:lang w:val="en-AU" w:eastAsia="en-GB"/>
        </w:rPr>
        <w:t xml:space="preserve"> </w:t>
      </w:r>
      <w:r w:rsidRPr="00D610D0">
        <w:rPr>
          <w:lang w:val="en-AU" w:eastAsia="en-GB"/>
        </w:rPr>
        <w:t>organisation</w:t>
      </w:r>
      <w:r>
        <w:rPr>
          <w:lang w:val="en-AU" w:eastAsia="en-GB"/>
        </w:rPr>
        <w:t>.</w:t>
      </w:r>
    </w:p>
    <w:sectPr w:rsidR="00D610D0" w:rsidRPr="007C1AE9" w:rsidSect="006B4F4E">
      <w:headerReference w:type="default" r:id="rId21"/>
      <w:footerReference w:type="default" r:id="rId22"/>
      <w:pgSz w:w="11900" w:h="16840"/>
      <w:pgMar w:top="1985" w:right="1191" w:bottom="1701" w:left="1021" w:header="794" w:footer="44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37FD" w14:textId="77777777" w:rsidR="00B24DC8" w:rsidRDefault="00B24DC8">
      <w:r>
        <w:separator/>
      </w:r>
    </w:p>
  </w:endnote>
  <w:endnote w:type="continuationSeparator" w:id="0">
    <w:p w14:paraId="5FC7867D" w14:textId="77777777" w:rsidR="00B24DC8" w:rsidRDefault="00B2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61AD" w14:textId="77777777" w:rsidR="00C138DD" w:rsidRDefault="00C138DD" w:rsidP="00EE329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E6C185D" w14:textId="77777777" w:rsidR="00C138DD" w:rsidRDefault="00C1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703149"/>
      <w:docPartObj>
        <w:docPartGallery w:val="Page Numbers (Bottom of Page)"/>
        <w:docPartUnique/>
      </w:docPartObj>
    </w:sdtPr>
    <w:sdtEndPr>
      <w:rPr>
        <w:noProof/>
        <w:color w:val="FFFFFF"/>
      </w:rPr>
    </w:sdtEndPr>
    <w:sdtContent>
      <w:p w14:paraId="2ED91ABB" w14:textId="0DD0AB18" w:rsidR="009C76F1" w:rsidRPr="009C76F1" w:rsidRDefault="00777A59">
        <w:pPr>
          <w:pStyle w:val="Footer"/>
          <w:jc w:val="right"/>
          <w:rPr>
            <w:color w:val="FFFFFF"/>
          </w:rPr>
        </w:pPr>
        <w:r w:rsidRPr="003D4161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3798653A" wp14:editId="584E01ED">
                  <wp:simplePos x="0" y="0"/>
                  <wp:positionH relativeFrom="column">
                    <wp:posOffset>-314960</wp:posOffset>
                  </wp:positionH>
                  <wp:positionV relativeFrom="paragraph">
                    <wp:posOffset>-191135</wp:posOffset>
                  </wp:positionV>
                  <wp:extent cx="2358189" cy="593558"/>
                  <wp:effectExtent l="0" t="0" r="4445" b="3810"/>
                  <wp:wrapNone/>
                  <wp:docPr id="1123724515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58189" cy="593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E6A9D6" w14:textId="77777777" w:rsidR="00777A59" w:rsidRPr="00D16634" w:rsidRDefault="00777A59" w:rsidP="00777A59">
                              <w:pPr>
                                <w:pStyle w:val="BodyText1"/>
                                <w:spacing w:after="60"/>
                                <w:rPr>
                                  <w:b/>
                                  <w:bCs/>
                                  <w:color w:val="F7F2EF" w:themeColor="accent2"/>
                                  <w:sz w:val="20"/>
                                  <w:szCs w:val="20"/>
                                  <w:lang w:val="en-AU"/>
                                </w:rPr>
                              </w:pPr>
                              <w:r w:rsidRPr="00D16634">
                                <w:rPr>
                                  <w:b/>
                                  <w:bCs/>
                                  <w:color w:val="F7F2EF" w:themeColor="accent2"/>
                                  <w:sz w:val="20"/>
                                  <w:szCs w:val="20"/>
                                  <w:lang w:val="en-AU"/>
                                </w:rPr>
                                <w:t>Diversity Council Australia</w:t>
                              </w:r>
                            </w:p>
                            <w:p w14:paraId="1A0E5707" w14:textId="77777777" w:rsidR="00777A59" w:rsidRPr="00D16634" w:rsidRDefault="00777A59" w:rsidP="00777A59">
                              <w:pPr>
                                <w:pStyle w:val="BodyText1"/>
                                <w:spacing w:after="0" w:line="200" w:lineRule="exact"/>
                                <w:rPr>
                                  <w:color w:val="F7F2EF" w:themeColor="accent2"/>
                                  <w:sz w:val="17"/>
                                  <w:szCs w:val="17"/>
                                  <w:lang w:val="en-AU"/>
                                </w:rPr>
                              </w:pPr>
                              <w:r w:rsidRPr="00D16634">
                                <w:rPr>
                                  <w:color w:val="F7F2EF" w:themeColor="accent2"/>
                                  <w:sz w:val="17"/>
                                  <w:szCs w:val="17"/>
                                  <w:lang w:val="en-AU"/>
                                </w:rPr>
                                <w:t>Phone: (02) 8014 4300</w:t>
                              </w:r>
                            </w:p>
                            <w:p w14:paraId="332D6AAE" w14:textId="4847BEA2" w:rsidR="00777A59" w:rsidRPr="00D16634" w:rsidRDefault="00777A59" w:rsidP="00777A59">
                              <w:pPr>
                                <w:pStyle w:val="BodyText1"/>
                                <w:spacing w:after="0" w:line="200" w:lineRule="exact"/>
                                <w:rPr>
                                  <w:color w:val="F7F2EF" w:themeColor="accent2"/>
                                  <w:sz w:val="17"/>
                                  <w:szCs w:val="17"/>
                                  <w:lang w:val="en-AU"/>
                                </w:rPr>
                              </w:pPr>
                              <w:r w:rsidRPr="00D16634">
                                <w:rPr>
                                  <w:color w:val="F7F2EF" w:themeColor="accent2"/>
                                  <w:sz w:val="17"/>
                                  <w:szCs w:val="17"/>
                                  <w:lang w:val="en-AU"/>
                                </w:rPr>
                                <w:t xml:space="preserve">Email: </w:t>
                              </w:r>
                              <w:r w:rsidR="00720B4C">
                                <w:rPr>
                                  <w:color w:val="F7F2EF" w:themeColor="accent2"/>
                                  <w:sz w:val="17"/>
                                  <w:szCs w:val="17"/>
                                  <w:lang w:val="en-AU"/>
                                </w:rPr>
                                <w:t>memberservices</w:t>
                              </w:r>
                              <w:r w:rsidRPr="00D16634">
                                <w:rPr>
                                  <w:color w:val="F7F2EF" w:themeColor="accent2"/>
                                  <w:sz w:val="17"/>
                                  <w:szCs w:val="17"/>
                                  <w:lang w:val="en-AU"/>
                                </w:rPr>
                                <w:t>@dca.org.au</w:t>
                              </w:r>
                            </w:p>
                            <w:p w14:paraId="70626575" w14:textId="77777777" w:rsidR="00777A59" w:rsidRPr="00D16634" w:rsidRDefault="00777A59" w:rsidP="00777A59">
                              <w:pPr>
                                <w:rPr>
                                  <w:color w:val="F7F2EF" w:themeColor="accent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98653A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24.8pt;margin-top:-15.05pt;width:185.7pt;height:46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" filled="f" stroked="f" strokeweight=".5pt">
                  <v:textbox inset="0,0,0,0">
                    <w:txbxContent>
                      <w:p w14:paraId="46E6A9D6" w14:textId="77777777" w:rsidR="00777A59" w:rsidRPr="00D16634" w:rsidRDefault="00777A59" w:rsidP="00777A59">
                        <w:pPr>
                          <w:pStyle w:val="BodyText1"/>
                          <w:spacing w:after="60"/>
                          <w:rPr>
                            <w:b/>
                            <w:bCs/>
                            <w:color w:val="F7F2EF" w:themeColor="accent2"/>
                            <w:sz w:val="20"/>
                            <w:szCs w:val="20"/>
                            <w:lang w:val="en-AU"/>
                          </w:rPr>
                        </w:pPr>
                        <w:r w:rsidRPr="00D16634">
                          <w:rPr>
                            <w:b/>
                            <w:bCs/>
                            <w:color w:val="F7F2EF" w:themeColor="accent2"/>
                            <w:sz w:val="20"/>
                            <w:szCs w:val="20"/>
                            <w:lang w:val="en-AU"/>
                          </w:rPr>
                          <w:t>Diversity Council Australia</w:t>
                        </w:r>
                      </w:p>
                      <w:p w14:paraId="1A0E5707" w14:textId="77777777" w:rsidR="00777A59" w:rsidRPr="00D16634" w:rsidRDefault="00777A59" w:rsidP="00777A59">
                        <w:pPr>
                          <w:pStyle w:val="BodyText1"/>
                          <w:spacing w:after="0" w:line="200" w:lineRule="exact"/>
                          <w:rPr>
                            <w:color w:val="F7F2EF" w:themeColor="accent2"/>
                            <w:sz w:val="17"/>
                            <w:szCs w:val="17"/>
                            <w:lang w:val="en-AU"/>
                          </w:rPr>
                        </w:pPr>
                        <w:r w:rsidRPr="00D16634">
                          <w:rPr>
                            <w:color w:val="F7F2EF" w:themeColor="accent2"/>
                            <w:sz w:val="17"/>
                            <w:szCs w:val="17"/>
                            <w:lang w:val="en-AU"/>
                          </w:rPr>
                          <w:t>Phone: (02) 8014 4300</w:t>
                        </w:r>
                      </w:p>
                      <w:p w14:paraId="332D6AAE" w14:textId="4847BEA2" w:rsidR="00777A59" w:rsidRPr="00D16634" w:rsidRDefault="00777A59" w:rsidP="00777A59">
                        <w:pPr>
                          <w:pStyle w:val="BodyText1"/>
                          <w:spacing w:after="0" w:line="200" w:lineRule="exact"/>
                          <w:rPr>
                            <w:color w:val="F7F2EF" w:themeColor="accent2"/>
                            <w:sz w:val="17"/>
                            <w:szCs w:val="17"/>
                            <w:lang w:val="en-AU"/>
                          </w:rPr>
                        </w:pPr>
                        <w:r w:rsidRPr="00D16634">
                          <w:rPr>
                            <w:color w:val="F7F2EF" w:themeColor="accent2"/>
                            <w:sz w:val="17"/>
                            <w:szCs w:val="17"/>
                            <w:lang w:val="en-AU"/>
                          </w:rPr>
                          <w:t xml:space="preserve">Email: </w:t>
                        </w:r>
                        <w:r w:rsidR="00720B4C">
                          <w:rPr>
                            <w:color w:val="F7F2EF" w:themeColor="accent2"/>
                            <w:sz w:val="17"/>
                            <w:szCs w:val="17"/>
                            <w:lang w:val="en-AU"/>
                          </w:rPr>
                          <w:t>memberservices</w:t>
                        </w:r>
                        <w:r w:rsidRPr="00D16634">
                          <w:rPr>
                            <w:color w:val="F7F2EF" w:themeColor="accent2"/>
                            <w:sz w:val="17"/>
                            <w:szCs w:val="17"/>
                            <w:lang w:val="en-AU"/>
                          </w:rPr>
                          <w:t>@dca.org.au</w:t>
                        </w:r>
                      </w:p>
                      <w:p w14:paraId="70626575" w14:textId="77777777" w:rsidR="00777A59" w:rsidRPr="00D16634" w:rsidRDefault="00777A59" w:rsidP="00777A59">
                        <w:pPr>
                          <w:rPr>
                            <w:color w:val="F7F2EF" w:themeColor="accent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C76F1" w:rsidRPr="009C76F1">
          <w:rPr>
            <w:color w:val="FFFFFF"/>
          </w:rPr>
          <w:fldChar w:fldCharType="begin"/>
        </w:r>
        <w:r w:rsidR="009C76F1" w:rsidRPr="009C76F1">
          <w:rPr>
            <w:color w:val="FFFFFF"/>
          </w:rPr>
          <w:instrText xml:space="preserve"> PAGE   \* MERGEFORMAT </w:instrText>
        </w:r>
        <w:r w:rsidR="009C76F1" w:rsidRPr="009C76F1">
          <w:rPr>
            <w:color w:val="FFFFFF"/>
          </w:rPr>
          <w:fldChar w:fldCharType="separate"/>
        </w:r>
        <w:r w:rsidR="009C76F1" w:rsidRPr="009C76F1">
          <w:rPr>
            <w:noProof/>
            <w:color w:val="FFFFFF"/>
          </w:rPr>
          <w:t>2</w:t>
        </w:r>
        <w:r w:rsidR="009C76F1" w:rsidRPr="009C76F1">
          <w:rPr>
            <w:noProof/>
            <w:color w:val="FFFFFF"/>
          </w:rPr>
          <w:fldChar w:fldCharType="end"/>
        </w:r>
      </w:p>
    </w:sdtContent>
  </w:sdt>
  <w:p w14:paraId="673324F2" w14:textId="46FF5F7E" w:rsidR="00E6572D" w:rsidRPr="00EE329A" w:rsidRDefault="00777A59" w:rsidP="00777A59">
    <w:pPr>
      <w:tabs>
        <w:tab w:val="left" w:pos="1770"/>
      </w:tabs>
      <w:rPr>
        <w:position w:val="-6"/>
      </w:rPr>
    </w:pPr>
    <w:r>
      <w:rPr>
        <w:position w:val="-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9AE7" w14:textId="77777777" w:rsidR="00B24DC8" w:rsidRDefault="00B24DC8">
      <w:r>
        <w:separator/>
      </w:r>
    </w:p>
  </w:footnote>
  <w:footnote w:type="continuationSeparator" w:id="0">
    <w:p w14:paraId="5F210D57" w14:textId="77777777" w:rsidR="00B24DC8" w:rsidRDefault="00B2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22F7" w14:textId="0EDD93CA" w:rsidR="004C63D0" w:rsidRDefault="00000000">
    <w:pPr>
      <w:pStyle w:val="Header"/>
    </w:pPr>
    <w:r>
      <w:rPr>
        <w:noProof/>
      </w:rPr>
      <w:pict w14:anchorId="657B6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9860" o:spid="_x0000_s1026" type="#_x0000_t75" style="position:absolute;margin-left:0;margin-top:0;width:595.2pt;height:841.9pt;z-index:-251658239;mso-wrap-edited:f;mso-position-horizontal:center;mso-position-horizontal-relative:margin;mso-position-vertical:center;mso-position-vertical-relative:margin" o:allowincell="f">
          <v:imagedata r:id="rId1" o:title="Word A4 Back Panel Or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A391" w14:textId="48AEE603" w:rsidR="00926BC1" w:rsidRDefault="00054489" w:rsidP="007A18A1">
    <w:pPr>
      <w:pStyle w:val="Header"/>
      <w:tabs>
        <w:tab w:val="clear" w:pos="9026"/>
        <w:tab w:val="right" w:pos="8782"/>
      </w:tabs>
      <w:ind w:right="-1141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FF4503A" wp14:editId="4DDD7D12">
          <wp:simplePos x="0" y="0"/>
          <wp:positionH relativeFrom="page">
            <wp:align>left</wp:align>
          </wp:positionH>
          <wp:positionV relativeFrom="paragraph">
            <wp:posOffset>-524510</wp:posOffset>
          </wp:positionV>
          <wp:extent cx="7560000" cy="10695600"/>
          <wp:effectExtent l="0" t="0" r="3175" b="0"/>
          <wp:wrapNone/>
          <wp:docPr id="315429786" name="Graphic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29786" name="Graphic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8A1">
      <w:t xml:space="preserve">                          </w:t>
    </w:r>
  </w:p>
  <w:p w14:paraId="28DDBAF5" w14:textId="05301E6C" w:rsidR="00D253AD" w:rsidRDefault="00D253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C15F" w14:textId="5AEC61FC" w:rsidR="004C63D0" w:rsidRDefault="00000000">
    <w:pPr>
      <w:pStyle w:val="Header"/>
    </w:pPr>
    <w:r>
      <w:rPr>
        <w:noProof/>
      </w:rPr>
      <w:pict w14:anchorId="3977F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9859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Word A4 Back Panel Oran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22A5" w14:textId="3DFF7FA5" w:rsidR="00E6572D" w:rsidRDefault="00D94906" w:rsidP="007A18A1">
    <w:pPr>
      <w:pStyle w:val="Header"/>
      <w:tabs>
        <w:tab w:val="clear" w:pos="9026"/>
        <w:tab w:val="right" w:pos="8782"/>
      </w:tabs>
      <w:ind w:right="-1141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F1F7A22" wp14:editId="05FCC9FC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539875" cy="307340"/>
          <wp:effectExtent l="0" t="0" r="3175" b="0"/>
          <wp:wrapNone/>
          <wp:docPr id="867988743" name="Picture 4" descr="Diversity Council Australia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88743" name="Picture 4" descr="Diversity Council Australia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875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2D">
      <w:rPr>
        <w:noProof/>
      </w:rPr>
      <w:drawing>
        <wp:anchor distT="0" distB="0" distL="114300" distR="114300" simplePos="0" relativeHeight="251658243" behindDoc="1" locked="0" layoutInCell="1" allowOverlap="1" wp14:anchorId="46E9AAD8" wp14:editId="4514020A">
          <wp:simplePos x="0" y="0"/>
          <wp:positionH relativeFrom="page">
            <wp:posOffset>0</wp:posOffset>
          </wp:positionH>
          <wp:positionV relativeFrom="paragraph">
            <wp:posOffset>-562610</wp:posOffset>
          </wp:positionV>
          <wp:extent cx="7585652" cy="10732166"/>
          <wp:effectExtent l="0" t="0" r="0" b="0"/>
          <wp:wrapNone/>
          <wp:docPr id="1699893527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3527" name="Graphic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652" cy="10732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2D">
      <w:t xml:space="preserve">                                    </w:t>
    </w:r>
  </w:p>
  <w:p w14:paraId="0223F0B5" w14:textId="15EAAA02" w:rsidR="00E6572D" w:rsidRDefault="00E657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9F0E6F4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3C1751"/>
    <w:multiLevelType w:val="hybridMultilevel"/>
    <w:tmpl w:val="5748C8BA"/>
    <w:lvl w:ilvl="0" w:tplc="83AE4460">
      <w:start w:val="1"/>
      <w:numFmt w:val="lowerRoman"/>
      <w:lvlText w:val="(%1)"/>
      <w:lvlJc w:val="left"/>
      <w:pPr>
        <w:ind w:left="720" w:hanging="360"/>
      </w:pPr>
      <w:rPr>
        <w:rFonts w:ascii="Arial" w:eastAsia="Tahoma" w:hAnsi="Arial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362E"/>
    <w:multiLevelType w:val="hybridMultilevel"/>
    <w:tmpl w:val="8E4EE286"/>
    <w:lvl w:ilvl="0" w:tplc="CF42A18A">
      <w:start w:val="1"/>
      <w:numFmt w:val="bullet"/>
      <w:pStyle w:val="ListBullet"/>
      <w:lvlText w:val=""/>
      <w:lvlJc w:val="left"/>
      <w:pPr>
        <w:ind w:left="709" w:hanging="284"/>
      </w:pPr>
      <w:rPr>
        <w:rFonts w:ascii="Symbol" w:hAnsi="Symbol" w:hint="default"/>
        <w:color w:val="081749" w:themeColor="background1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B8D5F55"/>
    <w:multiLevelType w:val="multilevel"/>
    <w:tmpl w:val="078A913A"/>
    <w:styleLink w:val="CurrentList1"/>
    <w:lvl w:ilvl="0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404"/>
    <w:multiLevelType w:val="hybridMultilevel"/>
    <w:tmpl w:val="82929D66"/>
    <w:lvl w:ilvl="0" w:tplc="83AE446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E544E"/>
    <w:multiLevelType w:val="hybridMultilevel"/>
    <w:tmpl w:val="EA02D8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F129A"/>
    <w:multiLevelType w:val="hybridMultilevel"/>
    <w:tmpl w:val="EED03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5ED0"/>
    <w:multiLevelType w:val="hybridMultilevel"/>
    <w:tmpl w:val="38707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252"/>
    <w:multiLevelType w:val="multilevel"/>
    <w:tmpl w:val="4288D610"/>
    <w:styleLink w:val="CurrentList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72D7B"/>
    <w:multiLevelType w:val="multilevel"/>
    <w:tmpl w:val="DABC0064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93741"/>
    <w:multiLevelType w:val="multilevel"/>
    <w:tmpl w:val="01AEBED4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8E3B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2239D"/>
    <w:multiLevelType w:val="multilevel"/>
    <w:tmpl w:val="865E5B0A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8E3B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10EC"/>
    <w:multiLevelType w:val="hybridMultilevel"/>
    <w:tmpl w:val="F53EECAC"/>
    <w:lvl w:ilvl="0" w:tplc="83AE446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464790">
    <w:abstractNumId w:val="1"/>
  </w:num>
  <w:num w:numId="2" w16cid:durableId="744304374">
    <w:abstractNumId w:val="1"/>
    <w:lvlOverride w:ilvl="0">
      <w:startOverride w:val="1"/>
    </w:lvlOverride>
  </w:num>
  <w:num w:numId="3" w16cid:durableId="861094098">
    <w:abstractNumId w:val="8"/>
  </w:num>
  <w:num w:numId="4" w16cid:durableId="1083913366">
    <w:abstractNumId w:val="0"/>
  </w:num>
  <w:num w:numId="5" w16cid:durableId="994525314">
    <w:abstractNumId w:val="15"/>
  </w:num>
  <w:num w:numId="6" w16cid:durableId="895312623">
    <w:abstractNumId w:val="14"/>
  </w:num>
  <w:num w:numId="7" w16cid:durableId="842403657">
    <w:abstractNumId w:val="3"/>
  </w:num>
  <w:num w:numId="8" w16cid:durableId="2007897504">
    <w:abstractNumId w:val="4"/>
  </w:num>
  <w:num w:numId="9" w16cid:durableId="215631293">
    <w:abstractNumId w:val="10"/>
  </w:num>
  <w:num w:numId="10" w16cid:durableId="370300618">
    <w:abstractNumId w:val="11"/>
  </w:num>
  <w:num w:numId="11" w16cid:durableId="36006303">
    <w:abstractNumId w:val="13"/>
  </w:num>
  <w:num w:numId="12" w16cid:durableId="78910887">
    <w:abstractNumId w:val="12"/>
  </w:num>
  <w:num w:numId="13" w16cid:durableId="1358391011">
    <w:abstractNumId w:val="14"/>
    <w:lvlOverride w:ilvl="0">
      <w:startOverride w:val="1"/>
    </w:lvlOverride>
  </w:num>
  <w:num w:numId="14" w16cid:durableId="344409441">
    <w:abstractNumId w:val="14"/>
  </w:num>
  <w:num w:numId="15" w16cid:durableId="323361088">
    <w:abstractNumId w:val="14"/>
  </w:num>
  <w:num w:numId="16" w16cid:durableId="2004821250">
    <w:abstractNumId w:val="2"/>
  </w:num>
  <w:num w:numId="17" w16cid:durableId="1272469162">
    <w:abstractNumId w:val="7"/>
  </w:num>
  <w:num w:numId="18" w16cid:durableId="842477738">
    <w:abstractNumId w:val="6"/>
  </w:num>
  <w:num w:numId="19" w16cid:durableId="1661275391">
    <w:abstractNumId w:val="9"/>
  </w:num>
  <w:num w:numId="20" w16cid:durableId="275723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2"/>
    <w:rsid w:val="000154A7"/>
    <w:rsid w:val="00023B62"/>
    <w:rsid w:val="00030F35"/>
    <w:rsid w:val="000318A4"/>
    <w:rsid w:val="00054489"/>
    <w:rsid w:val="00056D46"/>
    <w:rsid w:val="000632FB"/>
    <w:rsid w:val="00065D61"/>
    <w:rsid w:val="00082536"/>
    <w:rsid w:val="0008603C"/>
    <w:rsid w:val="00090745"/>
    <w:rsid w:val="000B0B01"/>
    <w:rsid w:val="000B1B6D"/>
    <w:rsid w:val="000B3BD7"/>
    <w:rsid w:val="000B5BDD"/>
    <w:rsid w:val="000C5088"/>
    <w:rsid w:val="000C7316"/>
    <w:rsid w:val="000E1598"/>
    <w:rsid w:val="000E18A8"/>
    <w:rsid w:val="000E6A75"/>
    <w:rsid w:val="000F7F62"/>
    <w:rsid w:val="00150F39"/>
    <w:rsid w:val="0015363D"/>
    <w:rsid w:val="00156F03"/>
    <w:rsid w:val="001972AB"/>
    <w:rsid w:val="001A3854"/>
    <w:rsid w:val="001B0CCB"/>
    <w:rsid w:val="001B348A"/>
    <w:rsid w:val="001B36B2"/>
    <w:rsid w:val="001B58F0"/>
    <w:rsid w:val="001B6C59"/>
    <w:rsid w:val="001B7C03"/>
    <w:rsid w:val="001C0B13"/>
    <w:rsid w:val="001C5CAE"/>
    <w:rsid w:val="001C6366"/>
    <w:rsid w:val="001D5396"/>
    <w:rsid w:val="001F4B7D"/>
    <w:rsid w:val="00215E68"/>
    <w:rsid w:val="00216A09"/>
    <w:rsid w:val="00223111"/>
    <w:rsid w:val="0023271B"/>
    <w:rsid w:val="00243128"/>
    <w:rsid w:val="00246FAA"/>
    <w:rsid w:val="00247C49"/>
    <w:rsid w:val="00263F77"/>
    <w:rsid w:val="00266D35"/>
    <w:rsid w:val="00275A87"/>
    <w:rsid w:val="0028562D"/>
    <w:rsid w:val="002939C7"/>
    <w:rsid w:val="00293D4E"/>
    <w:rsid w:val="002A0185"/>
    <w:rsid w:val="002A5D81"/>
    <w:rsid w:val="002D2D63"/>
    <w:rsid w:val="002D2EF4"/>
    <w:rsid w:val="002D67FE"/>
    <w:rsid w:val="002E021A"/>
    <w:rsid w:val="002E0CDC"/>
    <w:rsid w:val="002E50D1"/>
    <w:rsid w:val="002E71A8"/>
    <w:rsid w:val="002F357F"/>
    <w:rsid w:val="0031042E"/>
    <w:rsid w:val="003127CF"/>
    <w:rsid w:val="00321FE4"/>
    <w:rsid w:val="00332834"/>
    <w:rsid w:val="00342553"/>
    <w:rsid w:val="00344669"/>
    <w:rsid w:val="003643E5"/>
    <w:rsid w:val="00376A5E"/>
    <w:rsid w:val="003833D2"/>
    <w:rsid w:val="00386129"/>
    <w:rsid w:val="00390352"/>
    <w:rsid w:val="00396149"/>
    <w:rsid w:val="00396D56"/>
    <w:rsid w:val="003A0336"/>
    <w:rsid w:val="003A11C6"/>
    <w:rsid w:val="003A1F03"/>
    <w:rsid w:val="003C34DC"/>
    <w:rsid w:val="003D3387"/>
    <w:rsid w:val="003D356B"/>
    <w:rsid w:val="003D4161"/>
    <w:rsid w:val="003E2328"/>
    <w:rsid w:val="004021A7"/>
    <w:rsid w:val="004038AF"/>
    <w:rsid w:val="00405FB6"/>
    <w:rsid w:val="004106DA"/>
    <w:rsid w:val="0041097D"/>
    <w:rsid w:val="00413633"/>
    <w:rsid w:val="00416DEC"/>
    <w:rsid w:val="00421459"/>
    <w:rsid w:val="004325CE"/>
    <w:rsid w:val="00435BD5"/>
    <w:rsid w:val="0045647F"/>
    <w:rsid w:val="00476009"/>
    <w:rsid w:val="00482D6C"/>
    <w:rsid w:val="004B1ECF"/>
    <w:rsid w:val="004C63D0"/>
    <w:rsid w:val="00501578"/>
    <w:rsid w:val="005035BB"/>
    <w:rsid w:val="005046EF"/>
    <w:rsid w:val="00521AB4"/>
    <w:rsid w:val="00524D6B"/>
    <w:rsid w:val="005323DF"/>
    <w:rsid w:val="0053424C"/>
    <w:rsid w:val="005364DD"/>
    <w:rsid w:val="00536DF9"/>
    <w:rsid w:val="00560942"/>
    <w:rsid w:val="0056163A"/>
    <w:rsid w:val="00562F8A"/>
    <w:rsid w:val="00565133"/>
    <w:rsid w:val="00570663"/>
    <w:rsid w:val="00592DA0"/>
    <w:rsid w:val="005960FC"/>
    <w:rsid w:val="005B0CEE"/>
    <w:rsid w:val="005B41BB"/>
    <w:rsid w:val="005B5EB3"/>
    <w:rsid w:val="005C6A77"/>
    <w:rsid w:val="005C7773"/>
    <w:rsid w:val="005D3048"/>
    <w:rsid w:val="005E4597"/>
    <w:rsid w:val="005E544B"/>
    <w:rsid w:val="005E7E1C"/>
    <w:rsid w:val="005E7EBD"/>
    <w:rsid w:val="005F6A29"/>
    <w:rsid w:val="006017A4"/>
    <w:rsid w:val="0060318E"/>
    <w:rsid w:val="00607A5D"/>
    <w:rsid w:val="00614222"/>
    <w:rsid w:val="00623AE1"/>
    <w:rsid w:val="00623D66"/>
    <w:rsid w:val="0065506A"/>
    <w:rsid w:val="0066245D"/>
    <w:rsid w:val="00662490"/>
    <w:rsid w:val="0068143C"/>
    <w:rsid w:val="00684EB3"/>
    <w:rsid w:val="00697D9E"/>
    <w:rsid w:val="006A0436"/>
    <w:rsid w:val="006A2507"/>
    <w:rsid w:val="006B4F4E"/>
    <w:rsid w:val="006C13F2"/>
    <w:rsid w:val="006D06FA"/>
    <w:rsid w:val="006E481C"/>
    <w:rsid w:val="006F23A2"/>
    <w:rsid w:val="006F2945"/>
    <w:rsid w:val="006F2B85"/>
    <w:rsid w:val="006F3FE8"/>
    <w:rsid w:val="00700BE8"/>
    <w:rsid w:val="00701627"/>
    <w:rsid w:val="00701C9C"/>
    <w:rsid w:val="007025E6"/>
    <w:rsid w:val="00703394"/>
    <w:rsid w:val="0071018F"/>
    <w:rsid w:val="007114D4"/>
    <w:rsid w:val="007208A3"/>
    <w:rsid w:val="00720B4C"/>
    <w:rsid w:val="00724528"/>
    <w:rsid w:val="007258CC"/>
    <w:rsid w:val="0073088C"/>
    <w:rsid w:val="00737DA9"/>
    <w:rsid w:val="007670DB"/>
    <w:rsid w:val="00770A5F"/>
    <w:rsid w:val="00776102"/>
    <w:rsid w:val="00777A59"/>
    <w:rsid w:val="00795671"/>
    <w:rsid w:val="007A18A1"/>
    <w:rsid w:val="007A2AF5"/>
    <w:rsid w:val="007B0310"/>
    <w:rsid w:val="007B4F9A"/>
    <w:rsid w:val="007C1AE9"/>
    <w:rsid w:val="007C28A4"/>
    <w:rsid w:val="007C51D5"/>
    <w:rsid w:val="007D028F"/>
    <w:rsid w:val="007D2805"/>
    <w:rsid w:val="007E7449"/>
    <w:rsid w:val="007F2865"/>
    <w:rsid w:val="007F5D20"/>
    <w:rsid w:val="00804CA2"/>
    <w:rsid w:val="00806708"/>
    <w:rsid w:val="0080772D"/>
    <w:rsid w:val="00811E85"/>
    <w:rsid w:val="00812366"/>
    <w:rsid w:val="00815422"/>
    <w:rsid w:val="00825909"/>
    <w:rsid w:val="008279FD"/>
    <w:rsid w:val="008348FD"/>
    <w:rsid w:val="00840AB2"/>
    <w:rsid w:val="0084240F"/>
    <w:rsid w:val="008500D6"/>
    <w:rsid w:val="00850A6D"/>
    <w:rsid w:val="0085325A"/>
    <w:rsid w:val="00856571"/>
    <w:rsid w:val="00857788"/>
    <w:rsid w:val="00861346"/>
    <w:rsid w:val="008705B0"/>
    <w:rsid w:val="008843B1"/>
    <w:rsid w:val="008A28CB"/>
    <w:rsid w:val="008B2FDC"/>
    <w:rsid w:val="008D1857"/>
    <w:rsid w:val="008D1FCA"/>
    <w:rsid w:val="008D2711"/>
    <w:rsid w:val="008E371F"/>
    <w:rsid w:val="00902CD6"/>
    <w:rsid w:val="00903293"/>
    <w:rsid w:val="00904B94"/>
    <w:rsid w:val="0091215B"/>
    <w:rsid w:val="009202CB"/>
    <w:rsid w:val="00921AFB"/>
    <w:rsid w:val="009224CD"/>
    <w:rsid w:val="00926BC1"/>
    <w:rsid w:val="0094039E"/>
    <w:rsid w:val="0095469F"/>
    <w:rsid w:val="00970691"/>
    <w:rsid w:val="00970E3E"/>
    <w:rsid w:val="009769FE"/>
    <w:rsid w:val="0098267B"/>
    <w:rsid w:val="009843D9"/>
    <w:rsid w:val="009850DF"/>
    <w:rsid w:val="009863C3"/>
    <w:rsid w:val="00987D30"/>
    <w:rsid w:val="00991CED"/>
    <w:rsid w:val="009A06C3"/>
    <w:rsid w:val="009B5204"/>
    <w:rsid w:val="009B568E"/>
    <w:rsid w:val="009C4A29"/>
    <w:rsid w:val="009C62C4"/>
    <w:rsid w:val="009C69EB"/>
    <w:rsid w:val="009C76F1"/>
    <w:rsid w:val="009D5BE4"/>
    <w:rsid w:val="009E1389"/>
    <w:rsid w:val="009E7857"/>
    <w:rsid w:val="009F5CC8"/>
    <w:rsid w:val="009F6F0E"/>
    <w:rsid w:val="00A00416"/>
    <w:rsid w:val="00A06F26"/>
    <w:rsid w:val="00A145B5"/>
    <w:rsid w:val="00A32FFB"/>
    <w:rsid w:val="00A50A90"/>
    <w:rsid w:val="00A553BA"/>
    <w:rsid w:val="00A7552B"/>
    <w:rsid w:val="00AD2FD0"/>
    <w:rsid w:val="00AD3D82"/>
    <w:rsid w:val="00AF0045"/>
    <w:rsid w:val="00B0125A"/>
    <w:rsid w:val="00B02AA1"/>
    <w:rsid w:val="00B20F9D"/>
    <w:rsid w:val="00B24DC8"/>
    <w:rsid w:val="00B56B4C"/>
    <w:rsid w:val="00B57D47"/>
    <w:rsid w:val="00B61884"/>
    <w:rsid w:val="00B7591E"/>
    <w:rsid w:val="00B90497"/>
    <w:rsid w:val="00B914B4"/>
    <w:rsid w:val="00B92111"/>
    <w:rsid w:val="00B96566"/>
    <w:rsid w:val="00BA21F2"/>
    <w:rsid w:val="00BB4476"/>
    <w:rsid w:val="00BB4792"/>
    <w:rsid w:val="00BD38E3"/>
    <w:rsid w:val="00BF223E"/>
    <w:rsid w:val="00C00322"/>
    <w:rsid w:val="00C138DD"/>
    <w:rsid w:val="00C17307"/>
    <w:rsid w:val="00C40B25"/>
    <w:rsid w:val="00C428B8"/>
    <w:rsid w:val="00C4760B"/>
    <w:rsid w:val="00C6056F"/>
    <w:rsid w:val="00C6456C"/>
    <w:rsid w:val="00C65709"/>
    <w:rsid w:val="00C74EEF"/>
    <w:rsid w:val="00C9785A"/>
    <w:rsid w:val="00CB0E9A"/>
    <w:rsid w:val="00CB7694"/>
    <w:rsid w:val="00CD72D0"/>
    <w:rsid w:val="00CE22B2"/>
    <w:rsid w:val="00CE5C7A"/>
    <w:rsid w:val="00D040D1"/>
    <w:rsid w:val="00D07344"/>
    <w:rsid w:val="00D12130"/>
    <w:rsid w:val="00D24425"/>
    <w:rsid w:val="00D253AD"/>
    <w:rsid w:val="00D37F69"/>
    <w:rsid w:val="00D41FC4"/>
    <w:rsid w:val="00D51A2F"/>
    <w:rsid w:val="00D54B4E"/>
    <w:rsid w:val="00D610D0"/>
    <w:rsid w:val="00D6711C"/>
    <w:rsid w:val="00D736CE"/>
    <w:rsid w:val="00D740D5"/>
    <w:rsid w:val="00D748B7"/>
    <w:rsid w:val="00D86510"/>
    <w:rsid w:val="00D94906"/>
    <w:rsid w:val="00DA2B86"/>
    <w:rsid w:val="00DB3B7A"/>
    <w:rsid w:val="00DB6399"/>
    <w:rsid w:val="00DB7356"/>
    <w:rsid w:val="00DE12C6"/>
    <w:rsid w:val="00DE36AF"/>
    <w:rsid w:val="00E06189"/>
    <w:rsid w:val="00E121F1"/>
    <w:rsid w:val="00E14A04"/>
    <w:rsid w:val="00E236A6"/>
    <w:rsid w:val="00E32795"/>
    <w:rsid w:val="00E4271F"/>
    <w:rsid w:val="00E46082"/>
    <w:rsid w:val="00E55619"/>
    <w:rsid w:val="00E556C5"/>
    <w:rsid w:val="00E57A91"/>
    <w:rsid w:val="00E62A31"/>
    <w:rsid w:val="00E6572D"/>
    <w:rsid w:val="00E67597"/>
    <w:rsid w:val="00E7005E"/>
    <w:rsid w:val="00E71951"/>
    <w:rsid w:val="00E91DF7"/>
    <w:rsid w:val="00EA1997"/>
    <w:rsid w:val="00EA579D"/>
    <w:rsid w:val="00EB1FDC"/>
    <w:rsid w:val="00EC1C8B"/>
    <w:rsid w:val="00EC67CC"/>
    <w:rsid w:val="00ED258F"/>
    <w:rsid w:val="00ED4279"/>
    <w:rsid w:val="00EE329A"/>
    <w:rsid w:val="00EF01E8"/>
    <w:rsid w:val="00EF3FAE"/>
    <w:rsid w:val="00EF48F8"/>
    <w:rsid w:val="00F008EA"/>
    <w:rsid w:val="00F21A10"/>
    <w:rsid w:val="00F248EC"/>
    <w:rsid w:val="00F25283"/>
    <w:rsid w:val="00F321DC"/>
    <w:rsid w:val="00F54147"/>
    <w:rsid w:val="00F560C6"/>
    <w:rsid w:val="00F56E0F"/>
    <w:rsid w:val="00F647AD"/>
    <w:rsid w:val="00F73F59"/>
    <w:rsid w:val="00F83C5F"/>
    <w:rsid w:val="00F85C4D"/>
    <w:rsid w:val="00F86B93"/>
    <w:rsid w:val="00FA680D"/>
    <w:rsid w:val="00FA7A8D"/>
    <w:rsid w:val="00FB0060"/>
    <w:rsid w:val="00FB0DC8"/>
    <w:rsid w:val="00FB3316"/>
    <w:rsid w:val="00FB3A8D"/>
    <w:rsid w:val="00FC0DCD"/>
    <w:rsid w:val="00FC3A90"/>
    <w:rsid w:val="00FC4FD2"/>
    <w:rsid w:val="00FC623A"/>
    <w:rsid w:val="00FE43B5"/>
    <w:rsid w:val="00FF7448"/>
    <w:rsid w:val="02EBD12C"/>
    <w:rsid w:val="03F99582"/>
    <w:rsid w:val="05D90DC7"/>
    <w:rsid w:val="07F1A8D0"/>
    <w:rsid w:val="0921BC5B"/>
    <w:rsid w:val="0C352C9D"/>
    <w:rsid w:val="0C4A78B3"/>
    <w:rsid w:val="0FB7C8FB"/>
    <w:rsid w:val="12AC3380"/>
    <w:rsid w:val="133658F7"/>
    <w:rsid w:val="16358996"/>
    <w:rsid w:val="17F75972"/>
    <w:rsid w:val="1B89F3B8"/>
    <w:rsid w:val="1D0D42A8"/>
    <w:rsid w:val="20E1CE7F"/>
    <w:rsid w:val="218FE818"/>
    <w:rsid w:val="24F4BCAF"/>
    <w:rsid w:val="25FC12FF"/>
    <w:rsid w:val="290554CE"/>
    <w:rsid w:val="2D4E8C07"/>
    <w:rsid w:val="2D543D92"/>
    <w:rsid w:val="355946FD"/>
    <w:rsid w:val="3625FF98"/>
    <w:rsid w:val="3659541E"/>
    <w:rsid w:val="3B137133"/>
    <w:rsid w:val="3C7AB5B5"/>
    <w:rsid w:val="3D1E7D58"/>
    <w:rsid w:val="3EC303B9"/>
    <w:rsid w:val="3F198C52"/>
    <w:rsid w:val="41FA177E"/>
    <w:rsid w:val="446C6C68"/>
    <w:rsid w:val="45381328"/>
    <w:rsid w:val="47B7BC79"/>
    <w:rsid w:val="47EE383F"/>
    <w:rsid w:val="4B79BD7C"/>
    <w:rsid w:val="52CFE27A"/>
    <w:rsid w:val="5356EAE1"/>
    <w:rsid w:val="56913451"/>
    <w:rsid w:val="56F501E4"/>
    <w:rsid w:val="58775660"/>
    <w:rsid w:val="5B121440"/>
    <w:rsid w:val="5FA203D9"/>
    <w:rsid w:val="619FFC12"/>
    <w:rsid w:val="6280AFB0"/>
    <w:rsid w:val="62EA3DCE"/>
    <w:rsid w:val="6527625B"/>
    <w:rsid w:val="68E49C85"/>
    <w:rsid w:val="6F819E2D"/>
    <w:rsid w:val="6F9FFA24"/>
    <w:rsid w:val="716B23CC"/>
    <w:rsid w:val="71A5F359"/>
    <w:rsid w:val="75737C8C"/>
    <w:rsid w:val="7AE19955"/>
    <w:rsid w:val="7AFBCB14"/>
    <w:rsid w:val="7E12D87B"/>
    <w:rsid w:val="7ED5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B7EB8"/>
  <w15:chartTrackingRefBased/>
  <w15:docId w15:val="{2F1E8EBE-89E6-41D3-B927-0AFAA3B1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82"/>
    <w:rPr>
      <w:rFonts w:ascii="Arial" w:hAnsi="Arial"/>
      <w:color w:val="081749" w:themeColor="background1"/>
      <w:sz w:val="22"/>
      <w:szCs w:val="22"/>
      <w:lang w:val="en-US" w:eastAsia="ja-JP"/>
    </w:rPr>
  </w:style>
  <w:style w:type="paragraph" w:styleId="Heading1">
    <w:name w:val="heading 1"/>
    <w:basedOn w:val="CoverHeading"/>
    <w:next w:val="Normal"/>
    <w:link w:val="Heading1Char"/>
    <w:autoRedefine/>
    <w:uiPriority w:val="9"/>
    <w:qFormat/>
    <w:rsid w:val="00405FB6"/>
    <w:pPr>
      <w:ind w:left="0"/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11C6"/>
    <w:pPr>
      <w:keepNext/>
      <w:keepLines/>
      <w:snapToGrid w:val="0"/>
      <w:spacing w:before="480" w:after="240" w:line="300" w:lineRule="exact"/>
      <w:contextualSpacing/>
      <w:outlineLvl w:val="1"/>
    </w:pPr>
    <w:rPr>
      <w:rFonts w:eastAsia="Times New Roman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8A4"/>
    <w:pPr>
      <w:keepNext/>
      <w:keepLines/>
      <w:spacing w:after="80"/>
      <w:contextualSpacing/>
      <w:outlineLvl w:val="2"/>
    </w:pPr>
    <w:rPr>
      <w:rFonts w:eastAsia="Times New Roman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A4"/>
    <w:pPr>
      <w:keepNext/>
      <w:keepLines/>
      <w:spacing w:after="320"/>
      <w:contextualSpacing/>
      <w:outlineLvl w:val="3"/>
    </w:pPr>
    <w:rPr>
      <w:rFonts w:eastAsia="Times New Roman"/>
      <w:b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/>
      <w:contextualSpacing/>
      <w:outlineLvl w:val="4"/>
    </w:pPr>
    <w:rPr>
      <w:rFonts w:eastAsia="Times New Roman"/>
      <w:b/>
      <w:color w:val="949494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2A2A2A"/>
      </w:pBdr>
      <w:spacing w:after="320"/>
      <w:contextualSpacing/>
      <w:outlineLvl w:val="5"/>
    </w:pPr>
    <w:rPr>
      <w:rFonts w:eastAsia="Times New Roman"/>
      <w:b/>
      <w:color w:val="E09B3B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contextualSpacing/>
      <w:outlineLvl w:val="6"/>
    </w:pPr>
    <w:rPr>
      <w:rFonts w:eastAsia="Times New Roman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contextualSpacing/>
      <w:outlineLvl w:val="7"/>
    </w:pPr>
    <w:rPr>
      <w:rFonts w:eastAsia="Times New Roman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contextualSpacing/>
      <w:outlineLvl w:val="8"/>
    </w:pPr>
    <w:rPr>
      <w:rFonts w:eastAsia="Times New Roman"/>
      <w:b/>
      <w:iCs/>
      <w:color w:val="949494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7C28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28A4"/>
    <w:rPr>
      <w:rFonts w:ascii="Arial" w:hAnsi="Arial"/>
      <w:color w:val="000000" w:themeColor="text1"/>
      <w:sz w:val="18"/>
      <w:szCs w:val="22"/>
      <w:lang w:val="en-US" w:eastAsia="ja-JP"/>
    </w:rPr>
  </w:style>
  <w:style w:type="character" w:customStyle="1" w:styleId="Heading1Char">
    <w:name w:val="Heading 1 Char"/>
    <w:link w:val="Heading1"/>
    <w:uiPriority w:val="9"/>
    <w:rsid w:val="00405FB6"/>
    <w:rPr>
      <w:rFonts w:ascii="Arial" w:hAnsi="Arial"/>
      <w:b/>
      <w:bCs/>
      <w:color w:val="081749" w:themeColor="background1"/>
      <w:sz w:val="100"/>
      <w:szCs w:val="100"/>
      <w:lang w:val="en-US" w:eastAsia="ja-JP"/>
    </w:rPr>
  </w:style>
  <w:style w:type="character" w:customStyle="1" w:styleId="Heading2Char">
    <w:name w:val="Heading 2 Char"/>
    <w:link w:val="Heading2"/>
    <w:uiPriority w:val="9"/>
    <w:rsid w:val="003A11C6"/>
    <w:rPr>
      <w:rFonts w:ascii="Arial" w:eastAsia="Times New Roman" w:hAnsi="Arial"/>
      <w:b/>
      <w:color w:val="081749" w:themeColor="background1"/>
      <w:sz w:val="28"/>
      <w:szCs w:val="26"/>
      <w:lang w:val="en-US" w:eastAsia="ja-JP"/>
    </w:rPr>
  </w:style>
  <w:style w:type="paragraph" w:styleId="ListBullet">
    <w:name w:val="List Bullet"/>
    <w:basedOn w:val="Normal"/>
    <w:uiPriority w:val="10"/>
    <w:qFormat/>
    <w:rsid w:val="007C51D5"/>
    <w:pPr>
      <w:numPr>
        <w:numId w:val="7"/>
      </w:numPr>
      <w:spacing w:after="160" w:line="280" w:lineRule="exact"/>
    </w:pPr>
    <w:rPr>
      <w:sz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8DD"/>
  </w:style>
  <w:style w:type="paragraph" w:styleId="Header">
    <w:name w:val="header"/>
    <w:basedOn w:val="Normal"/>
    <w:link w:val="HeaderChar"/>
    <w:uiPriority w:val="99"/>
    <w:unhideWhenUsed/>
    <w:qFormat/>
    <w:rsid w:val="007C28A4"/>
    <w:pPr>
      <w:tabs>
        <w:tab w:val="center" w:pos="4513"/>
        <w:tab w:val="right" w:pos="9026"/>
      </w:tabs>
    </w:pPr>
  </w:style>
  <w:style w:type="table" w:customStyle="1" w:styleId="ModernPaper">
    <w:name w:val="Modern Paper"/>
    <w:basedOn w:val="TableNormal"/>
    <w:uiPriority w:val="99"/>
    <w:pPr>
      <w:spacing w:before="200"/>
    </w:pPr>
    <w:tblPr>
      <w:tblBorders>
        <w:insideH w:val="single" w:sz="8" w:space="0" w:color="2A2A2A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="Segoe UI Emoji" w:hAnsi="Segoe UI Emoji"/>
        <w:b/>
        <w:i w:val="0"/>
        <w:color w:val="E09B3B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link w:val="Heading3"/>
    <w:uiPriority w:val="9"/>
    <w:rsid w:val="007C28A4"/>
    <w:rPr>
      <w:rFonts w:ascii="Arial" w:eastAsia="Times New Roman" w:hAnsi="Arial"/>
      <w:b/>
      <w:color w:val="000000" w:themeColor="text1"/>
      <w:sz w:val="26"/>
      <w:szCs w:val="24"/>
      <w:lang w:val="en-US" w:eastAsia="ja-JP"/>
    </w:rPr>
  </w:style>
  <w:style w:type="character" w:customStyle="1" w:styleId="Heading4Char">
    <w:name w:val="Heading 4 Char"/>
    <w:link w:val="Heading4"/>
    <w:uiPriority w:val="9"/>
    <w:semiHidden/>
    <w:rsid w:val="007C28A4"/>
    <w:rPr>
      <w:rFonts w:ascii="Arial" w:eastAsia="Times New Roman" w:hAnsi="Arial"/>
      <w:b/>
      <w:iCs/>
      <w:color w:val="000000" w:themeColor="text1"/>
      <w:sz w:val="36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Pr>
      <w:rFonts w:ascii="Tahoma" w:eastAsia="Times New Roman" w:hAnsi="Tahoma" w:cs="Times New Roman"/>
      <w:b/>
      <w:color w:val="949494"/>
      <w:sz w:val="36"/>
    </w:rPr>
  </w:style>
  <w:style w:type="character" w:customStyle="1" w:styleId="Heading6Char">
    <w:name w:val="Heading 6 Char"/>
    <w:link w:val="Heading6"/>
    <w:uiPriority w:val="9"/>
    <w:semiHidden/>
    <w:rPr>
      <w:rFonts w:ascii="Tahoma" w:eastAsia="Times New Roman" w:hAnsi="Tahoma" w:cs="Times New Roman"/>
      <w:b/>
      <w:color w:val="E09B3B"/>
      <w:sz w:val="36"/>
    </w:rPr>
  </w:style>
  <w:style w:type="character" w:customStyle="1" w:styleId="Heading7Char">
    <w:name w:val="Heading 7 Char"/>
    <w:link w:val="Heading7"/>
    <w:uiPriority w:val="9"/>
    <w:semiHidden/>
    <w:rPr>
      <w:rFonts w:ascii="Tahoma" w:eastAsia="Times New Roman" w:hAnsi="Tahoma" w:cs="Times New Roman"/>
      <w:b/>
      <w:iCs/>
      <w:sz w:val="32"/>
    </w:rPr>
  </w:style>
  <w:style w:type="character" w:customStyle="1" w:styleId="Heading8Char">
    <w:name w:val="Heading 8 Char"/>
    <w:link w:val="Heading8"/>
    <w:uiPriority w:val="9"/>
    <w:semiHidden/>
    <w:rPr>
      <w:rFonts w:ascii="Tahoma" w:eastAsia="Times New Roman" w:hAnsi="Tahoma" w:cs="Times New Roman"/>
      <w:b/>
      <w:i/>
      <w:sz w:val="32"/>
      <w:szCs w:val="21"/>
    </w:rPr>
  </w:style>
  <w:style w:type="character" w:customStyle="1" w:styleId="Heading9Char">
    <w:name w:val="Heading 9 Char"/>
    <w:link w:val="Heading9"/>
    <w:uiPriority w:val="9"/>
    <w:semiHidden/>
    <w:rPr>
      <w:rFonts w:ascii="Tahoma" w:eastAsia="Times New Roman" w:hAnsi="Tahoma" w:cs="Times New Roman"/>
      <w:b/>
      <w:iCs/>
      <w:color w:val="949494"/>
      <w:sz w:val="32"/>
      <w:szCs w:val="21"/>
    </w:rPr>
  </w:style>
  <w:style w:type="character" w:styleId="Emphasis">
    <w:name w:val="Emphasis"/>
    <w:uiPriority w:val="20"/>
    <w:semiHidden/>
    <w:unhideWhenUsed/>
    <w:qFormat/>
    <w:rPr>
      <w:i w:val="0"/>
      <w:iCs/>
      <w:color w:val="E09B3B"/>
    </w:rPr>
  </w:style>
  <w:style w:type="character" w:styleId="IntenseEmphasis">
    <w:name w:val="Intense Emphasis"/>
    <w:uiPriority w:val="21"/>
    <w:semiHidden/>
    <w:unhideWhenUsed/>
    <w:qFormat/>
    <w:rPr>
      <w:b/>
      <w:i/>
      <w:iCs/>
      <w:color w:val="E09B3B"/>
    </w:rPr>
  </w:style>
  <w:style w:type="character" w:styleId="Strong">
    <w:name w:val="Strong"/>
    <w:uiPriority w:val="22"/>
    <w:semiHidden/>
    <w:unhideWhenUsed/>
    <w:qFormat/>
    <w:rPr>
      <w:b/>
      <w:bCs/>
    </w:rPr>
  </w:style>
  <w:style w:type="character" w:styleId="SubtleReference">
    <w:name w:val="Subtle Reference"/>
    <w:uiPriority w:val="31"/>
    <w:semiHidden/>
    <w:unhideWhenUsed/>
    <w:qFormat/>
    <w:rPr>
      <w:caps/>
      <w:smallCaps w:val="0"/>
      <w:color w:val="2A2A2A"/>
    </w:rPr>
  </w:style>
  <w:style w:type="character" w:styleId="IntenseReference">
    <w:name w:val="Intense Reference"/>
    <w:uiPriority w:val="32"/>
    <w:semiHidden/>
    <w:unhideWhenUsed/>
    <w:qFormat/>
    <w:rPr>
      <w:b/>
      <w:bCs/>
      <w:caps/>
      <w:smallCaps w:val="0"/>
      <w:color w:val="2A2A2A"/>
      <w:spacing w:val="0"/>
    </w:rPr>
  </w:style>
  <w:style w:type="character" w:styleId="BookTitle">
    <w:name w:val="Book Titl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/>
      <w:contextualSpacing/>
    </w:pPr>
    <w:rPr>
      <w:rFonts w:eastAsia="Times New Roman"/>
      <w:b/>
      <w:kern w:val="28"/>
      <w:sz w:val="140"/>
      <w:szCs w:val="56"/>
    </w:rPr>
  </w:style>
  <w:style w:type="character" w:customStyle="1" w:styleId="TitleChar">
    <w:name w:val="Title Char"/>
    <w:link w:val="Title"/>
    <w:uiPriority w:val="10"/>
    <w:semiHidden/>
    <w:rPr>
      <w:rFonts w:ascii="Tahoma" w:eastAsia="Times New Roman" w:hAnsi="Tahoma" w:cs="Times New Roman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/>
      <w:contextualSpacing/>
    </w:pPr>
    <w:rPr>
      <w:rFonts w:eastAsia="Times New Roman"/>
      <w:b/>
      <w:color w:val="E09B3B"/>
      <w:sz w:val="56"/>
    </w:rPr>
  </w:style>
  <w:style w:type="character" w:customStyle="1" w:styleId="SubtitleChar">
    <w:name w:val="Subtitle Char"/>
    <w:link w:val="Subtitle"/>
    <w:uiPriority w:val="11"/>
    <w:semiHidden/>
    <w:rPr>
      <w:rFonts w:eastAsia="Times New Roman"/>
      <w:b/>
      <w:color w:val="E09B3B"/>
      <w:sz w:val="56"/>
      <w:szCs w:val="22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styleId="SubtleEmphasis">
    <w:name w:val="Subtle Emphasis"/>
    <w:uiPriority w:val="19"/>
    <w:semiHidden/>
    <w:unhideWhenUsed/>
    <w:qFormat/>
    <w:rPr>
      <w:i/>
      <w:iCs/>
      <w:color w:val="2A2A2A"/>
    </w:rPr>
  </w:style>
  <w:style w:type="character" w:customStyle="1" w:styleId="HeaderChar">
    <w:name w:val="Header Char"/>
    <w:link w:val="Header"/>
    <w:uiPriority w:val="99"/>
    <w:rsid w:val="007C28A4"/>
    <w:rPr>
      <w:rFonts w:ascii="Arial" w:hAnsi="Arial"/>
      <w:color w:val="000000" w:themeColor="text1"/>
      <w:sz w:val="18"/>
      <w:szCs w:val="22"/>
      <w:lang w:val="en-US" w:eastAsia="ja-JP"/>
    </w:rPr>
  </w:style>
  <w:style w:type="paragraph" w:styleId="ListNumber">
    <w:name w:val="List Number"/>
    <w:basedOn w:val="Normal"/>
    <w:uiPriority w:val="11"/>
    <w:qFormat/>
    <w:rsid w:val="00DB6399"/>
    <w:pPr>
      <w:spacing w:after="240" w:line="280" w:lineRule="exact"/>
    </w:pPr>
    <w:rPr>
      <w:sz w:val="24"/>
    </w:rPr>
  </w:style>
  <w:style w:type="paragraph" w:customStyle="1" w:styleId="ParaBreakRule">
    <w:name w:val="Para Break Rule"/>
    <w:basedOn w:val="Normal"/>
    <w:autoRedefine/>
    <w:qFormat/>
    <w:rsid w:val="00B61884"/>
    <w:pPr>
      <w:spacing w:before="120" w:after="240"/>
    </w:pPr>
    <w:rPr>
      <w:b/>
      <w:bCs/>
      <w:sz w:val="24"/>
      <w:szCs w:val="24"/>
    </w:rPr>
  </w:style>
  <w:style w:type="numbering" w:customStyle="1" w:styleId="CurrentList1">
    <w:name w:val="Current List1"/>
    <w:uiPriority w:val="99"/>
    <w:rsid w:val="00C138DD"/>
    <w:pPr>
      <w:numPr>
        <w:numId w:val="8"/>
      </w:numPr>
    </w:pPr>
  </w:style>
  <w:style w:type="numbering" w:customStyle="1" w:styleId="CurrentList2">
    <w:name w:val="Current List2"/>
    <w:uiPriority w:val="99"/>
    <w:rsid w:val="00C138DD"/>
    <w:pPr>
      <w:numPr>
        <w:numId w:val="9"/>
      </w:numPr>
    </w:pPr>
  </w:style>
  <w:style w:type="paragraph" w:customStyle="1" w:styleId="BodyText1">
    <w:name w:val="Body Text1"/>
    <w:basedOn w:val="Normal"/>
    <w:autoRedefine/>
    <w:qFormat/>
    <w:rsid w:val="008279FD"/>
    <w:pPr>
      <w:spacing w:after="160" w:line="280" w:lineRule="exact"/>
    </w:pPr>
    <w:rPr>
      <w:sz w:val="24"/>
    </w:rPr>
  </w:style>
  <w:style w:type="numbering" w:customStyle="1" w:styleId="CurrentList3">
    <w:name w:val="Current List3"/>
    <w:uiPriority w:val="99"/>
    <w:rsid w:val="00247C49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7C28A4"/>
    <w:rPr>
      <w:rFonts w:ascii="Tahoma" w:hAnsi="Tahoma"/>
      <w:color w:val="081749" w:themeColor="background1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63C3"/>
    <w:rPr>
      <w:color w:val="FFFFFF" w:themeColor="followedHyperlink"/>
      <w:u w:val="single"/>
    </w:rPr>
  </w:style>
  <w:style w:type="numbering" w:customStyle="1" w:styleId="CurrentList4">
    <w:name w:val="Current List4"/>
    <w:uiPriority w:val="99"/>
    <w:rsid w:val="00EB1FDC"/>
    <w:pPr>
      <w:numPr>
        <w:numId w:val="11"/>
      </w:numPr>
    </w:pPr>
  </w:style>
  <w:style w:type="numbering" w:customStyle="1" w:styleId="CurrentList5">
    <w:name w:val="Current List5"/>
    <w:uiPriority w:val="99"/>
    <w:rsid w:val="00EB1FDC"/>
    <w:pPr>
      <w:numPr>
        <w:numId w:val="12"/>
      </w:numPr>
    </w:pPr>
  </w:style>
  <w:style w:type="paragraph" w:customStyle="1" w:styleId="BodyTextContinued">
    <w:name w:val="Body Text Continued"/>
    <w:basedOn w:val="BodyText1"/>
    <w:qFormat/>
    <w:rsid w:val="00D040D1"/>
    <w:pPr>
      <w:jc w:val="right"/>
    </w:pPr>
    <w:rPr>
      <w:b/>
      <w:bCs/>
    </w:rPr>
  </w:style>
  <w:style w:type="paragraph" w:customStyle="1" w:styleId="CoverHeading">
    <w:name w:val="Cover Heading"/>
    <w:basedOn w:val="Normal"/>
    <w:qFormat/>
    <w:rsid w:val="00701C9C"/>
    <w:pPr>
      <w:spacing w:after="760" w:line="1040" w:lineRule="exact"/>
      <w:ind w:left="113"/>
    </w:pPr>
    <w:rPr>
      <w:b/>
      <w:bCs/>
      <w:sz w:val="100"/>
      <w:szCs w:val="100"/>
    </w:rPr>
  </w:style>
  <w:style w:type="paragraph" w:customStyle="1" w:styleId="CoverSubhead">
    <w:name w:val="Cover Subhead"/>
    <w:basedOn w:val="Normal"/>
    <w:qFormat/>
    <w:rsid w:val="00701C9C"/>
    <w:pPr>
      <w:spacing w:line="440" w:lineRule="exact"/>
    </w:pPr>
    <w:rPr>
      <w:b/>
      <w:bCs/>
      <w:sz w:val="36"/>
      <w:szCs w:val="36"/>
    </w:rPr>
  </w:style>
  <w:style w:type="paragraph" w:styleId="Revision">
    <w:name w:val="Revision"/>
    <w:hidden/>
    <w:uiPriority w:val="99"/>
    <w:semiHidden/>
    <w:rsid w:val="00413633"/>
    <w:rPr>
      <w:rFonts w:ascii="Arial" w:hAnsi="Arial"/>
      <w:color w:val="081749" w:themeColor="background1"/>
      <w:sz w:val="22"/>
      <w:szCs w:val="2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081749" w:themeColor="background1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au.dca.culturalinfusion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dca.org.au/inclusion-work-index-hub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ca.org.au/inclusion-work-index-hub/inclusion-work-list-of-inclusive-employer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gea.gov.au/gender-equality-citatio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emberservices@dca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documenttasks/documenttasks1.xml><?xml version="1.0" encoding="utf-8"?>
<t:Tasks xmlns:t="http://schemas.microsoft.com/office/tasks/2019/documenttasks" xmlns:oel="http://schemas.microsoft.com/office/2019/extlst">
  <t:Task id="{9B53A332-C308-4117-AEC2-A6903AC21EC9}">
    <t:Anchor>
      <t:Comment id="923722659"/>
    </t:Anchor>
    <t:History>
      <t:Event id="{B5F2D003-3ECD-473C-976C-74FEC2D41E5E}" time="2026-03-03T05:47:15.873Z">
        <t:Attribution userId="S::rebecca@dca.org.au::19132578-975f-40e9-8c03-3463e2053ac9" userProvider="AD" userName="Rebecca Kearney (she/her)"/>
        <t:Anchor>
          <t:Comment id="35193599"/>
        </t:Anchor>
        <t:Create/>
      </t:Event>
      <t:Event id="{BB709777-4B31-43E1-A382-864C769BA138}" time="2026-03-03T05:47:15.873Z">
        <t:Attribution userId="S::rebecca@dca.org.au::19132578-975f-40e9-8c03-3463e2053ac9" userProvider="AD" userName="Rebecca Kearney (she/her)"/>
        <t:Anchor>
          <t:Comment id="35193599"/>
        </t:Anchor>
        <t:Assign userId="S::rose@dca.org.au::aec340ff-37a9-4082-8f0a-71ac65c54020" userProvider="AD" userName="Rose D’Almada-Remedios (she/her)"/>
      </t:Event>
      <t:Event id="{C6539DE9-DEDD-47F1-B5F9-2E4C1E81665A}" time="2026-03-03T05:47:15.873Z">
        <t:Attribution userId="S::rebecca@dca.org.au::19132578-975f-40e9-8c03-3463e2053ac9" userProvider="AD" userName="Rebecca Kearney (she/her)"/>
        <t:Anchor>
          <t:Comment id="35193599"/>
        </t:Anchor>
        <t:SetTitle title="@Rose D’Almada-Remedios (she/her) would you please be able to answer this one?"/>
      </t:Event>
    </t:History>
  </t:Task>
  <t:Task id="{266C1D2F-D5BB-4009-8E18-BAD7A26093CC}">
    <t:Anchor>
      <t:Comment id="395261987"/>
    </t:Anchor>
    <t:History>
      <t:Event id="{96EA856C-9A20-440A-BBB0-95D600261E03}" time="2026-03-03T22:16:27.689Z">
        <t:Attribution userId="S::han.bailey@dca.org.au::20cccb9e-773f-4c0a-9caf-6a168e3249a0" userProvider="AD" userName="Han Bailey (she/her)"/>
        <t:Anchor>
          <t:Comment id="395261987"/>
        </t:Anchor>
        <t:Create/>
      </t:Event>
      <t:Event id="{C4F95906-97C2-4F99-9847-E56F88FA1D28}" time="2026-03-03T22:16:27.689Z">
        <t:Attribution userId="S::han.bailey@dca.org.au::20cccb9e-773f-4c0a-9caf-6a168e3249a0" userProvider="AD" userName="Han Bailey (she/her)"/>
        <t:Anchor>
          <t:Comment id="395261987"/>
        </t:Anchor>
        <t:Assign userId="S::nicole.kindred@dca.org.au::6d08db14-20ae-418f-9289-7c5206a3bf62" userProvider="AD" userName="Nicole Kindred (she/her)"/>
      </t:Event>
      <t:Event id="{890350AE-FE97-40A3-A932-3BF088362695}" time="2026-03-03T22:16:27.689Z">
        <t:Attribution userId="S::han.bailey@dca.org.au::20cccb9e-773f-4c0a-9caf-6a168e3249a0" userProvider="AD" userName="Han Bailey (she/her)"/>
        <t:Anchor>
          <t:Comment id="395261987"/>
        </t:Anchor>
        <t:SetTitle title="@Nicole Kindred (she/her) here is the offer T&amp;C's that can be used in footnotes et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DCA Colours">
      <a:dk1>
        <a:srgbClr val="000000"/>
      </a:dk1>
      <a:lt1>
        <a:srgbClr val="081749"/>
      </a:lt1>
      <a:dk2>
        <a:srgbClr val="FF8E3B"/>
      </a:dk2>
      <a:lt2>
        <a:srgbClr val="F3DE51"/>
      </a:lt2>
      <a:accent1>
        <a:srgbClr val="C0A8FF"/>
      </a:accent1>
      <a:accent2>
        <a:srgbClr val="F7F2EF"/>
      </a:accent2>
      <a:accent3>
        <a:srgbClr val="FFB881"/>
      </a:accent3>
      <a:accent4>
        <a:srgbClr val="DCCAFF"/>
      </a:accent4>
      <a:accent5>
        <a:srgbClr val="FBEB8A"/>
      </a:accent5>
      <a:accent6>
        <a:srgbClr val="EEE5FF"/>
      </a:accent6>
      <a:hlink>
        <a:srgbClr val="081749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E1D1C4A7774FA96DE147EA198403" ma:contentTypeVersion="17" ma:contentTypeDescription="Create a new document." ma:contentTypeScope="" ma:versionID="4eea0cc808ef0af004aeb0f8d3ada921">
  <xsd:schema xmlns:xsd="http://www.w3.org/2001/XMLSchema" xmlns:xs="http://www.w3.org/2001/XMLSchema" xmlns:p="http://schemas.microsoft.com/office/2006/metadata/properties" xmlns:ns2="a2f75d52-bbdb-4487-84b0-bad780082e99" xmlns:ns3="23d324c5-bd47-4845-b8bb-a13d10331d6d" xmlns:ns4="c838b492-c0da-4a78-9bd2-c5f1c59c29f5" targetNamespace="http://schemas.microsoft.com/office/2006/metadata/properties" ma:root="true" ma:fieldsID="4375a5b1b2479e802ed683b1ef13e08e" ns2:_="" ns3:_="" ns4:_="">
    <xsd:import namespace="a2f75d52-bbdb-4487-84b0-bad780082e99"/>
    <xsd:import namespace="23d324c5-bd47-4845-b8bb-a13d10331d6d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5d52-bbdb-4487-84b0-bad78008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24c5-bd47-4845-b8bb-a13d10331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a2f75d52-bbdb-4487-84b0-bad780082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CBB13-DBC3-904F-B15A-2B2033AE7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5DACA-652E-4FEB-BFCC-E9CC80685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3EF47-07BC-427F-96A6-693A47D88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75d52-bbdb-4487-84b0-bad780082e99"/>
    <ds:schemaRef ds:uri="23d324c5-bd47-4845-b8bb-a13d10331d6d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8283B-F73E-441F-9192-3BA162976091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a2f75d52-bbdb-4487-84b0-bad780082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2297</Words>
  <Characters>12776</Characters>
  <Application>Microsoft Office Word</Application>
  <DocSecurity>0</DocSecurity>
  <Lines>255</Lines>
  <Paragraphs>157</Paragraphs>
  <ScaleCrop>false</ScaleCrop>
  <Company/>
  <LinksUpToDate>false</LinksUpToDate>
  <CharactersWithSpaces>14916</CharactersWithSpaces>
  <SharedDoc>false</SharedDoc>
  <HLinks>
    <vt:vector size="30" baseType="variant">
      <vt:variant>
        <vt:i4>3014736</vt:i4>
      </vt:variant>
      <vt:variant>
        <vt:i4>12</vt:i4>
      </vt:variant>
      <vt:variant>
        <vt:i4>0</vt:i4>
      </vt:variant>
      <vt:variant>
        <vt:i4>5</vt:i4>
      </vt:variant>
      <vt:variant>
        <vt:lpwstr>mailto:Memberservices@dca.org.au</vt:lpwstr>
      </vt:variant>
      <vt:variant>
        <vt:lpwstr/>
      </vt:variant>
      <vt:variant>
        <vt:i4>2359344</vt:i4>
      </vt:variant>
      <vt:variant>
        <vt:i4>9</vt:i4>
      </vt:variant>
      <vt:variant>
        <vt:i4>0</vt:i4>
      </vt:variant>
      <vt:variant>
        <vt:i4>5</vt:i4>
      </vt:variant>
      <vt:variant>
        <vt:lpwstr>http://au.dca.culturalinfusion.com/</vt:lpwstr>
      </vt:variant>
      <vt:variant>
        <vt:lpwstr/>
      </vt:variant>
      <vt:variant>
        <vt:i4>3080233</vt:i4>
      </vt:variant>
      <vt:variant>
        <vt:i4>6</vt:i4>
      </vt:variant>
      <vt:variant>
        <vt:i4>0</vt:i4>
      </vt:variant>
      <vt:variant>
        <vt:i4>5</vt:i4>
      </vt:variant>
      <vt:variant>
        <vt:lpwstr>https://www.dca.org.au/inclusion-work-index-hub</vt:lpwstr>
      </vt:variant>
      <vt:variant>
        <vt:lpwstr/>
      </vt:variant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https://www.dca.org.au/inclusion-work-index-hub/inclusion-work-list-of-inclusive-employers</vt:lpwstr>
      </vt:variant>
      <vt:variant>
        <vt:lpwstr/>
      </vt:variant>
      <vt:variant>
        <vt:i4>4718597</vt:i4>
      </vt:variant>
      <vt:variant>
        <vt:i4>0</vt:i4>
      </vt:variant>
      <vt:variant>
        <vt:i4>0</vt:i4>
      </vt:variant>
      <vt:variant>
        <vt:i4>5</vt:i4>
      </vt:variant>
      <vt:variant>
        <vt:lpwstr>https://www.wgea.gov.au/gender-equality-citation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Inclusive Employer Index Information Booklet;</dc:title>
  <dc:subject/>
  <dc:creator>Diversity Council Australia</dc:creator>
  <cp:keywords>Inclusive Employer Index Information Booklet</cp:keywords>
  <dc:description/>
  <cp:lastModifiedBy>Rebecca Kearney (she/her)</cp:lastModifiedBy>
  <cp:revision>7</cp:revision>
  <cp:lastPrinted>2026-03-04T00:27:00Z</cp:lastPrinted>
  <dcterms:created xsi:type="dcterms:W3CDTF">2026-03-04T23:13:00Z</dcterms:created>
  <dcterms:modified xsi:type="dcterms:W3CDTF">2026-04-16T22:50:00Z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0x0101002C80E1D1C4A7774FA96DE147EA198403</vt:lpwstr>
  </property>
  <property fmtid="{D5CDD505-2E9C-101B-9397-08002B2CF9AE}" pid="4" name="GrammarlyDocumentId">
    <vt:lpwstr>3d8d458f-faa7-4f99-8eff-7b3458550b25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