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10D9D" w14:textId="5F81A9B5" w:rsidR="001662F6" w:rsidRDefault="001662F6" w:rsidP="00EA26AA">
      <w:pPr>
        <w:pStyle w:val="Heading1"/>
        <w:spacing w:before="1200"/>
        <w:jc w:val="center"/>
        <w:rPr>
          <w:sz w:val="44"/>
          <w:szCs w:val="44"/>
        </w:rPr>
      </w:pPr>
      <w:r>
        <w:rPr>
          <w:noProof/>
          <w:sz w:val="44"/>
          <w:szCs w:val="44"/>
        </w:rPr>
        <w:drawing>
          <wp:inline distT="0" distB="0" distL="0" distR="0" wp14:anchorId="0C5867BD" wp14:editId="569CA80A">
            <wp:extent cx="2592487" cy="1104181"/>
            <wp:effectExtent l="0" t="0" r="0" b="0"/>
            <wp:docPr id="100605646" name="Picture 1" descr="Diversity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646" name="Picture 1" descr="Diversity Council Austral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688" cy="1112359"/>
                    </a:xfrm>
                    <a:prstGeom prst="rect">
                      <a:avLst/>
                    </a:prstGeom>
                  </pic:spPr>
                </pic:pic>
              </a:graphicData>
            </a:graphic>
          </wp:inline>
        </w:drawing>
      </w:r>
    </w:p>
    <w:p w14:paraId="47EEB1A9" w14:textId="441FA9C7" w:rsidR="00DE6438" w:rsidRPr="00EA26AA" w:rsidRDefault="00E5107C" w:rsidP="00EA26AA">
      <w:pPr>
        <w:pStyle w:val="Heading1"/>
        <w:spacing w:before="1200"/>
        <w:jc w:val="center"/>
        <w:rPr>
          <w:sz w:val="44"/>
          <w:szCs w:val="44"/>
        </w:rPr>
      </w:pPr>
      <w:r w:rsidRPr="00EA26AA">
        <w:rPr>
          <w:sz w:val="44"/>
          <w:szCs w:val="44"/>
        </w:rPr>
        <w:t>D&amp;I Data at Work</w:t>
      </w:r>
    </w:p>
    <w:p w14:paraId="5541614F" w14:textId="4F2419C0" w:rsidR="00A36E68" w:rsidRPr="0059218B" w:rsidRDefault="00DE6438" w:rsidP="00EA26AA">
      <w:pPr>
        <w:pStyle w:val="Heading2"/>
        <w:jc w:val="center"/>
      </w:pPr>
      <w:bookmarkStart w:id="0" w:name="_Toc193468414"/>
      <w:r>
        <w:t>Collecting and reporting on diversity data</w:t>
      </w:r>
      <w:bookmarkEnd w:id="0"/>
    </w:p>
    <w:p w14:paraId="372834E4" w14:textId="77777777" w:rsidR="00A36E68" w:rsidRPr="0059218B" w:rsidRDefault="00A36E68">
      <w:pPr>
        <w:rPr>
          <w:rFonts w:asciiTheme="majorHAnsi" w:eastAsiaTheme="majorEastAsia" w:hAnsiTheme="majorHAnsi" w:cstheme="majorBidi"/>
          <w:spacing w:val="-10"/>
          <w:kern w:val="28"/>
          <w:sz w:val="56"/>
          <w:szCs w:val="56"/>
        </w:rPr>
      </w:pPr>
      <w:r w:rsidRPr="0059218B">
        <w:br w:type="page"/>
      </w:r>
    </w:p>
    <w:p w14:paraId="1C81EBF7" w14:textId="77777777" w:rsidR="00A36E68" w:rsidRPr="0059218B" w:rsidRDefault="00A36E68" w:rsidP="00EA26AA">
      <w:pPr>
        <w:pStyle w:val="Heading4"/>
      </w:pPr>
      <w:r w:rsidRPr="0059218B">
        <w:t>Want to use our research?</w:t>
      </w:r>
    </w:p>
    <w:p w14:paraId="3F46341A" w14:textId="2AC534F7" w:rsidR="00A36E68" w:rsidRPr="0059218B" w:rsidRDefault="00A36E68" w:rsidP="00A36E68">
      <w:pPr>
        <w:pStyle w:val="ResearchReportText"/>
        <w:rPr>
          <w:rFonts w:asciiTheme="minorHAnsi" w:eastAsia="Times New Roman" w:hAnsiTheme="minorHAnsi"/>
          <w:sz w:val="24"/>
          <w:szCs w:val="24"/>
          <w:lang w:val="en-AU"/>
        </w:rPr>
      </w:pPr>
      <w:r w:rsidRPr="0059218B">
        <w:rPr>
          <w:rFonts w:asciiTheme="minorHAnsi" w:eastAsia="Times New Roman" w:hAnsiTheme="minorHAnsi"/>
          <w:sz w:val="24"/>
          <w:szCs w:val="24"/>
          <w:lang w:val="en-AU"/>
        </w:rPr>
        <w:t>Materials in this document are © Diversity Council Australia Limited</w:t>
      </w:r>
      <w:r w:rsidR="0075659F" w:rsidRPr="0059218B">
        <w:rPr>
          <w:rFonts w:asciiTheme="minorHAnsi" w:eastAsia="Times New Roman" w:hAnsiTheme="minorHAnsi"/>
          <w:sz w:val="24"/>
          <w:szCs w:val="24"/>
          <w:lang w:val="en-AU"/>
        </w:rPr>
        <w:t xml:space="preserve"> (DCA)</w:t>
      </w:r>
      <w:r w:rsidRPr="0059218B">
        <w:rPr>
          <w:rFonts w:asciiTheme="minorHAnsi" w:eastAsia="Times New Roman" w:hAnsiTheme="minorHAnsi"/>
          <w:sz w:val="24"/>
          <w:szCs w:val="24"/>
          <w:lang w:val="en-AU"/>
        </w:rPr>
        <w:t>, 202</w:t>
      </w:r>
      <w:r w:rsidR="00A81ED5" w:rsidRPr="0059218B">
        <w:rPr>
          <w:rFonts w:asciiTheme="minorHAnsi" w:eastAsia="Times New Roman" w:hAnsiTheme="minorHAnsi"/>
          <w:sz w:val="24"/>
          <w:szCs w:val="24"/>
          <w:lang w:val="en-AU"/>
        </w:rPr>
        <w:t>5.</w:t>
      </w:r>
      <w:r w:rsidRPr="0059218B">
        <w:rPr>
          <w:rFonts w:asciiTheme="minorHAnsi" w:eastAsia="Times New Roman" w:hAnsiTheme="minorHAnsi"/>
          <w:sz w:val="24"/>
          <w:szCs w:val="24"/>
          <w:lang w:val="en-AU"/>
        </w:rPr>
        <w:t xml:space="preserve"> </w:t>
      </w:r>
    </w:p>
    <w:p w14:paraId="0349AD54" w14:textId="77777777" w:rsidR="00A36E68" w:rsidRPr="0059218B" w:rsidRDefault="00A36E68" w:rsidP="00A36E68">
      <w:pPr>
        <w:pStyle w:val="ResearchReportText"/>
        <w:rPr>
          <w:rFonts w:asciiTheme="minorHAnsi" w:eastAsia="Times New Roman" w:hAnsiTheme="minorHAnsi"/>
          <w:sz w:val="24"/>
          <w:szCs w:val="24"/>
          <w:lang w:val="en-AU"/>
        </w:rPr>
      </w:pPr>
      <w:r w:rsidRPr="0059218B">
        <w:rPr>
          <w:rFonts w:asciiTheme="minorHAnsi" w:eastAsia="Times New Roman" w:hAnsiTheme="minorHAnsi"/>
          <w:sz w:val="24"/>
          <w:szCs w:val="24"/>
          <w:lang w:val="en-AU"/>
        </w:rPr>
        <w:t>These materials are DCA member-only content.</w:t>
      </w:r>
    </w:p>
    <w:p w14:paraId="3C8B27DD" w14:textId="5C87081F" w:rsidR="00A36E68" w:rsidRPr="0059218B" w:rsidRDefault="00A36E68" w:rsidP="00A36E68">
      <w:pPr>
        <w:pStyle w:val="ResearchReportText"/>
        <w:rPr>
          <w:rFonts w:asciiTheme="minorHAnsi" w:eastAsia="Times New Roman" w:hAnsiTheme="minorHAnsi"/>
          <w:sz w:val="24"/>
          <w:szCs w:val="24"/>
          <w:lang w:val="en-AU"/>
        </w:rPr>
      </w:pPr>
      <w:r w:rsidRPr="0059218B">
        <w:rPr>
          <w:rFonts w:asciiTheme="minorHAnsi" w:eastAsia="Times New Roman" w:hAnsiTheme="minorHAnsi"/>
          <w:sz w:val="24"/>
          <w:szCs w:val="24"/>
          <w:lang w:val="en-AU"/>
        </w:rPr>
        <w:t xml:space="preserve">They are only available to employees of current DCA member organisations to help improve their diversity and inclusion capability. You are not permitted to: commercialise these materials, including by providing training or consulting services to third parties for a fee or otherwise; or provide </w:t>
      </w:r>
      <w:r w:rsidR="0075659F" w:rsidRPr="0059218B">
        <w:rPr>
          <w:rFonts w:asciiTheme="minorHAnsi" w:eastAsia="Times New Roman" w:hAnsiTheme="minorHAnsi"/>
          <w:sz w:val="24"/>
          <w:szCs w:val="24"/>
          <w:lang w:val="en-AU"/>
        </w:rPr>
        <w:t>m</w:t>
      </w:r>
      <w:r w:rsidRPr="0059218B">
        <w:rPr>
          <w:rFonts w:asciiTheme="minorHAnsi" w:eastAsia="Times New Roman" w:hAnsiTheme="minorHAnsi"/>
          <w:sz w:val="24"/>
          <w:szCs w:val="24"/>
          <w:lang w:val="en-AU"/>
        </w:rPr>
        <w:t xml:space="preserve">ember-only </w:t>
      </w:r>
      <w:r w:rsidR="0075659F" w:rsidRPr="0059218B">
        <w:rPr>
          <w:rFonts w:asciiTheme="minorHAnsi" w:eastAsia="Times New Roman" w:hAnsiTheme="minorHAnsi"/>
          <w:sz w:val="24"/>
          <w:szCs w:val="24"/>
          <w:lang w:val="en-AU"/>
        </w:rPr>
        <w:t>c</w:t>
      </w:r>
      <w:r w:rsidRPr="0059218B">
        <w:rPr>
          <w:rFonts w:asciiTheme="minorHAnsi" w:eastAsia="Times New Roman" w:hAnsiTheme="minorHAnsi"/>
          <w:sz w:val="24"/>
          <w:szCs w:val="24"/>
          <w:lang w:val="en-AU"/>
        </w:rPr>
        <w:t xml:space="preserve">ontent to third parties outside your organisation. </w:t>
      </w:r>
    </w:p>
    <w:p w14:paraId="294B8634" w14:textId="1DCA3759" w:rsidR="00A36E68" w:rsidRPr="0059218B" w:rsidRDefault="00A36E68" w:rsidP="00A81ED5">
      <w:pPr>
        <w:pStyle w:val="ResearchReportText"/>
        <w:rPr>
          <w:rFonts w:asciiTheme="minorHAnsi" w:hAnsiTheme="minorHAnsi"/>
          <w:sz w:val="24"/>
          <w:szCs w:val="24"/>
          <w:lang w:val="en-AU"/>
        </w:rPr>
      </w:pPr>
      <w:r w:rsidRPr="0059218B">
        <w:rPr>
          <w:rFonts w:asciiTheme="minorHAnsi" w:eastAsia="Times New Roman" w:hAnsiTheme="minorHAnsi"/>
          <w:sz w:val="24"/>
          <w:szCs w:val="24"/>
          <w:lang w:val="en-AU"/>
        </w:rPr>
        <w:t xml:space="preserve">If you wish to use any content in this report, please contact us at </w:t>
      </w:r>
      <w:hyperlink r:id="rId12" w:history="1">
        <w:r w:rsidRPr="0059218B">
          <w:rPr>
            <w:rFonts w:asciiTheme="minorHAnsi" w:eastAsia="Times New Roman" w:hAnsiTheme="minorHAnsi"/>
            <w:color w:val="0563C1"/>
            <w:sz w:val="24"/>
            <w:szCs w:val="24"/>
            <w:u w:val="single"/>
            <w:lang w:val="en-AU"/>
          </w:rPr>
          <w:t>research@dca.org.au</w:t>
        </w:r>
      </w:hyperlink>
      <w:r w:rsidRPr="0059218B">
        <w:rPr>
          <w:rFonts w:asciiTheme="minorHAnsi" w:eastAsia="Times New Roman" w:hAnsiTheme="minorHAnsi"/>
          <w:sz w:val="24"/>
          <w:szCs w:val="24"/>
          <w:lang w:val="en-AU"/>
        </w:rPr>
        <w:t xml:space="preserve"> to seek consent.</w:t>
      </w:r>
    </w:p>
    <w:p w14:paraId="2507BD7C" w14:textId="74C30F3A" w:rsidR="00A36E68" w:rsidRPr="0059218B" w:rsidRDefault="00A36E68" w:rsidP="00A36E68">
      <w:pPr>
        <w:pStyle w:val="ResearchReportText"/>
        <w:rPr>
          <w:rFonts w:asciiTheme="minorHAnsi" w:hAnsiTheme="minorHAnsi"/>
          <w:b/>
          <w:sz w:val="24"/>
          <w:szCs w:val="24"/>
          <w:lang w:val="en-AU"/>
        </w:rPr>
      </w:pPr>
      <w:r w:rsidRPr="000E1CF5">
        <w:rPr>
          <w:rFonts w:asciiTheme="minorHAnsi" w:hAnsiTheme="minorHAnsi"/>
          <w:sz w:val="24"/>
          <w:szCs w:val="24"/>
          <w:lang w:val="en-AU"/>
        </w:rPr>
        <w:t>Suggested citation: Diversity Council Australia (</w:t>
      </w:r>
      <w:r w:rsidR="000E1CF5" w:rsidRPr="00FF1B99">
        <w:rPr>
          <w:rFonts w:asciiTheme="minorHAnsi" w:hAnsiTheme="minorHAnsi"/>
          <w:sz w:val="24"/>
          <w:szCs w:val="24"/>
          <w:lang w:val="en-AU"/>
        </w:rPr>
        <w:t xml:space="preserve">R </w:t>
      </w:r>
      <w:r w:rsidRPr="000E1CF5">
        <w:rPr>
          <w:rFonts w:asciiTheme="minorHAnsi" w:hAnsiTheme="minorHAnsi"/>
          <w:sz w:val="24"/>
          <w:szCs w:val="24"/>
          <w:lang w:val="en-AU"/>
        </w:rPr>
        <w:t>D’Almada-Remedios)</w:t>
      </w:r>
      <w:r w:rsidR="0075659F" w:rsidRPr="000E1CF5">
        <w:rPr>
          <w:rFonts w:asciiTheme="minorHAnsi" w:hAnsiTheme="minorHAnsi"/>
          <w:sz w:val="24"/>
          <w:szCs w:val="24"/>
          <w:lang w:val="en-AU"/>
        </w:rPr>
        <w:t>,</w:t>
      </w:r>
      <w:r w:rsidRPr="000E1CF5">
        <w:rPr>
          <w:rFonts w:asciiTheme="minorHAnsi" w:hAnsiTheme="minorHAnsi"/>
          <w:sz w:val="24"/>
          <w:szCs w:val="24"/>
          <w:lang w:val="en-AU"/>
        </w:rPr>
        <w:t xml:space="preserve"> </w:t>
      </w:r>
      <w:r w:rsidR="00A81ED5" w:rsidRPr="000E1CF5">
        <w:rPr>
          <w:rFonts w:asciiTheme="minorHAnsi" w:hAnsiTheme="minorHAnsi"/>
          <w:i/>
          <w:iCs/>
          <w:sz w:val="24"/>
          <w:szCs w:val="24"/>
          <w:lang w:val="en-AU"/>
        </w:rPr>
        <w:t xml:space="preserve">D&amp;I Data at Work: </w:t>
      </w:r>
      <w:r w:rsidR="000E1CF5" w:rsidRPr="00FF1B99">
        <w:rPr>
          <w:rFonts w:asciiTheme="minorHAnsi" w:hAnsiTheme="minorHAnsi"/>
          <w:i/>
          <w:iCs/>
          <w:sz w:val="24"/>
          <w:szCs w:val="24"/>
          <w:lang w:val="en-AU"/>
        </w:rPr>
        <w:t>collecting and reporting on diversity data</w:t>
      </w:r>
      <w:r w:rsidRPr="000E1CF5">
        <w:rPr>
          <w:rFonts w:asciiTheme="minorHAnsi" w:hAnsiTheme="minorHAnsi"/>
          <w:i/>
          <w:iCs/>
          <w:sz w:val="24"/>
          <w:szCs w:val="24"/>
          <w:lang w:val="en-AU"/>
        </w:rPr>
        <w:t xml:space="preserve">, </w:t>
      </w:r>
      <w:r w:rsidR="000E1CF5" w:rsidRPr="00FF1B99">
        <w:rPr>
          <w:rFonts w:asciiTheme="minorHAnsi" w:hAnsiTheme="minorHAnsi"/>
          <w:sz w:val="24"/>
          <w:szCs w:val="24"/>
          <w:lang w:val="en-AU"/>
        </w:rPr>
        <w:t>DCA, Sydney</w:t>
      </w:r>
      <w:r w:rsidRPr="000E1CF5">
        <w:rPr>
          <w:rFonts w:asciiTheme="minorHAnsi" w:hAnsiTheme="minorHAnsi"/>
          <w:sz w:val="24"/>
          <w:szCs w:val="24"/>
          <w:lang w:val="en-AU"/>
        </w:rPr>
        <w:t>, 202</w:t>
      </w:r>
      <w:r w:rsidR="0089072D">
        <w:rPr>
          <w:rFonts w:asciiTheme="minorHAnsi" w:hAnsiTheme="minorHAnsi"/>
          <w:sz w:val="24"/>
          <w:szCs w:val="24"/>
          <w:lang w:val="en-AU"/>
        </w:rPr>
        <w:t>5</w:t>
      </w:r>
      <w:r w:rsidRPr="000E1CF5">
        <w:rPr>
          <w:rFonts w:asciiTheme="minorHAnsi" w:hAnsiTheme="minorHAnsi"/>
          <w:sz w:val="24"/>
          <w:szCs w:val="24"/>
          <w:lang w:val="en-AU"/>
        </w:rPr>
        <w:t>.</w:t>
      </w:r>
      <w:r w:rsidRPr="0059218B">
        <w:rPr>
          <w:rFonts w:asciiTheme="minorHAnsi" w:hAnsiTheme="minorHAnsi"/>
          <w:sz w:val="24"/>
          <w:szCs w:val="24"/>
          <w:lang w:val="en-AU"/>
        </w:rPr>
        <w:t xml:space="preserve"> </w:t>
      </w:r>
    </w:p>
    <w:p w14:paraId="34FD0D52" w14:textId="77777777" w:rsidR="00A36E68" w:rsidRPr="0059218B" w:rsidRDefault="00A36E68" w:rsidP="00EA26AA">
      <w:pPr>
        <w:pStyle w:val="Heading2"/>
      </w:pPr>
      <w:bookmarkStart w:id="1" w:name="_Toc193468415"/>
      <w:r w:rsidRPr="0059218B">
        <w:t>About Diversity Council Australia</w:t>
      </w:r>
      <w:bookmarkEnd w:id="1"/>
      <w:r w:rsidRPr="0059218B">
        <w:t xml:space="preserve"> </w:t>
      </w:r>
    </w:p>
    <w:p w14:paraId="6AF4E35F" w14:textId="77777777" w:rsidR="00A36E68" w:rsidRPr="0059218B" w:rsidRDefault="00A36E68" w:rsidP="00A36E68">
      <w:pPr>
        <w:pStyle w:val="ResearchReportText"/>
        <w:rPr>
          <w:rFonts w:asciiTheme="minorHAnsi" w:eastAsia="Times New Roman" w:hAnsiTheme="minorHAnsi"/>
          <w:sz w:val="24"/>
          <w:szCs w:val="24"/>
          <w:lang w:val="en-AU"/>
        </w:rPr>
      </w:pPr>
      <w:r w:rsidRPr="0059218B">
        <w:rPr>
          <w:rFonts w:asciiTheme="minorHAnsi" w:eastAsia="Times New Roman" w:hAnsiTheme="minorHAnsi"/>
          <w:sz w:val="24"/>
          <w:szCs w:val="24"/>
          <w:lang w:val="en-AU"/>
        </w:rPr>
        <w:t xml:space="preserve">Diversity Council Australia is the independent not-for-profit peak body leading diversity and inclusion in the workplace. We provide unique research, inspiring events and programs, curated resources and expert advice across a spectrum of diversity dimensions to a community of member organisations. </w:t>
      </w:r>
    </w:p>
    <w:p w14:paraId="4FC39285" w14:textId="77777777" w:rsidR="00A36E68" w:rsidRPr="0059218B" w:rsidRDefault="00A36E68" w:rsidP="00A36E68">
      <w:pPr>
        <w:pStyle w:val="ResearchReportText"/>
        <w:numPr>
          <w:ilvl w:val="0"/>
          <w:numId w:val="52"/>
        </w:numPr>
        <w:rPr>
          <w:rFonts w:asciiTheme="minorHAnsi" w:eastAsia="Symbol" w:hAnsiTheme="minorHAnsi"/>
          <w:b/>
          <w:bCs/>
          <w:sz w:val="24"/>
          <w:szCs w:val="24"/>
          <w:lang w:val="en-AU"/>
        </w:rPr>
      </w:pPr>
      <w:r w:rsidRPr="0059218B">
        <w:rPr>
          <w:rFonts w:asciiTheme="minorHAnsi" w:eastAsia="Symbol" w:hAnsiTheme="minorHAnsi"/>
          <w:b/>
          <w:bCs/>
          <w:sz w:val="24"/>
          <w:szCs w:val="24"/>
          <w:lang w:val="en-AU"/>
        </w:rPr>
        <w:t xml:space="preserve">Our purpose </w:t>
      </w:r>
      <w:r w:rsidRPr="0059218B">
        <w:rPr>
          <w:rFonts w:asciiTheme="minorHAnsi" w:eastAsia="Symbol" w:hAnsiTheme="minorHAnsi"/>
          <w:sz w:val="24"/>
          <w:szCs w:val="24"/>
          <w:lang w:val="en-AU"/>
        </w:rPr>
        <w:t>is to enable more diverse, inclusive and equitable workplaces for a better Australia</w:t>
      </w:r>
      <w:r w:rsidRPr="0059218B">
        <w:rPr>
          <w:rFonts w:asciiTheme="minorHAnsi" w:eastAsia="Symbol" w:hAnsiTheme="minorHAnsi"/>
          <w:b/>
          <w:bCs/>
          <w:sz w:val="24"/>
          <w:szCs w:val="24"/>
          <w:lang w:val="en-AU"/>
        </w:rPr>
        <w:t xml:space="preserve">. </w:t>
      </w:r>
    </w:p>
    <w:p w14:paraId="1CD8DE72" w14:textId="77777777" w:rsidR="00A36E68" w:rsidRPr="0059218B" w:rsidRDefault="00A36E68" w:rsidP="00A36E68">
      <w:pPr>
        <w:pStyle w:val="ResearchReportText"/>
        <w:numPr>
          <w:ilvl w:val="0"/>
          <w:numId w:val="52"/>
        </w:numPr>
        <w:rPr>
          <w:rFonts w:asciiTheme="minorHAnsi" w:eastAsia="Symbol" w:hAnsiTheme="minorHAnsi"/>
          <w:b/>
          <w:bCs/>
          <w:sz w:val="24"/>
          <w:szCs w:val="24"/>
          <w:lang w:val="en-AU"/>
        </w:rPr>
      </w:pPr>
      <w:r w:rsidRPr="0059218B">
        <w:rPr>
          <w:rFonts w:asciiTheme="minorHAnsi" w:eastAsia="Symbol" w:hAnsiTheme="minorHAnsi"/>
          <w:b/>
          <w:bCs/>
          <w:sz w:val="24"/>
          <w:szCs w:val="24"/>
          <w:lang w:val="en-AU"/>
        </w:rPr>
        <w:t xml:space="preserve">Our vision </w:t>
      </w:r>
      <w:r w:rsidRPr="0059218B">
        <w:rPr>
          <w:rFonts w:asciiTheme="minorHAnsi" w:eastAsia="Symbol" w:hAnsiTheme="minorHAnsi"/>
          <w:sz w:val="24"/>
          <w:szCs w:val="24"/>
          <w:lang w:val="en-AU"/>
        </w:rPr>
        <w:t>is to create a just and equitable Australian society where people in all their diversity can thrive</w:t>
      </w:r>
      <w:r w:rsidRPr="0059218B">
        <w:rPr>
          <w:rFonts w:asciiTheme="minorHAnsi" w:eastAsia="Symbol" w:hAnsiTheme="minorHAnsi"/>
          <w:b/>
          <w:bCs/>
          <w:sz w:val="24"/>
          <w:szCs w:val="24"/>
          <w:lang w:val="en-AU"/>
        </w:rPr>
        <w:t>.</w:t>
      </w:r>
    </w:p>
    <w:p w14:paraId="482CEC59" w14:textId="22C68B23" w:rsidR="00A36E68" w:rsidRPr="0059218B" w:rsidRDefault="00A36E68" w:rsidP="00A36E68">
      <w:pPr>
        <w:pStyle w:val="ResearchReportText"/>
        <w:rPr>
          <w:rFonts w:asciiTheme="minorHAnsi" w:eastAsia="Times New Roman" w:hAnsiTheme="minorHAnsi"/>
          <w:sz w:val="24"/>
          <w:szCs w:val="24"/>
          <w:lang w:val="en-AU"/>
        </w:rPr>
      </w:pPr>
      <w:r w:rsidRPr="0059218B">
        <w:rPr>
          <w:rFonts w:asciiTheme="minorHAnsi" w:eastAsia="Times New Roman" w:hAnsiTheme="minorHAnsi"/>
          <w:sz w:val="24"/>
          <w:szCs w:val="24"/>
          <w:lang w:val="en-AU"/>
        </w:rPr>
        <w:t>DCA works in partnership with members to generate groundbreaking, high-impact diversity research that drives business improvement. We provide evidence-based guidance on how to fully leverage the benefits of a diverse talent pool. DCA's research is provided for general information purposes only and is not professional or legal advice.</w:t>
      </w:r>
    </w:p>
    <w:p w14:paraId="01D66C03" w14:textId="39A74872" w:rsidR="007B335E" w:rsidRPr="0059218B" w:rsidRDefault="00A36E68" w:rsidP="00A81ED5">
      <w:r w:rsidRPr="0059218B">
        <w:t>Designed by McGill Design Group</w:t>
      </w:r>
      <w:r w:rsidR="0075659F" w:rsidRPr="0059218B">
        <w:t>,</w:t>
      </w:r>
      <w:r w:rsidRPr="0059218B">
        <w:t xml:space="preserve"> (02) 9555 5090.</w:t>
      </w:r>
    </w:p>
    <w:p w14:paraId="35DD5F59" w14:textId="77777777" w:rsidR="007B335E" w:rsidRPr="0059218B" w:rsidRDefault="007B335E">
      <w:pPr>
        <w:rPr>
          <w:rFonts w:asciiTheme="majorHAnsi" w:eastAsiaTheme="majorEastAsia" w:hAnsiTheme="majorHAnsi" w:cstheme="majorBidi"/>
          <w:spacing w:val="-10"/>
          <w:kern w:val="28"/>
          <w:sz w:val="56"/>
          <w:szCs w:val="56"/>
        </w:rPr>
      </w:pPr>
      <w:r w:rsidRPr="0059218B">
        <w:br w:type="page"/>
      </w:r>
    </w:p>
    <w:p w14:paraId="2D7C99B3" w14:textId="26829AED" w:rsidR="007B335E" w:rsidRPr="0059218B" w:rsidRDefault="0075659F" w:rsidP="00EA26AA">
      <w:pPr>
        <w:pStyle w:val="Heading2"/>
      </w:pPr>
      <w:bookmarkStart w:id="2" w:name="_Toc191028760"/>
      <w:bookmarkStart w:id="3" w:name="_Toc191028810"/>
      <w:bookmarkStart w:id="4" w:name="_Toc193468416"/>
      <w:r w:rsidRPr="0059218B">
        <w:t>C</w:t>
      </w:r>
      <w:r w:rsidR="007B335E" w:rsidRPr="0059218B">
        <w:t>ontents</w:t>
      </w:r>
      <w:bookmarkEnd w:id="2"/>
      <w:bookmarkEnd w:id="3"/>
      <w:bookmarkEnd w:id="4"/>
    </w:p>
    <w:p w14:paraId="53A1466B" w14:textId="45571F48" w:rsidR="00791119" w:rsidRDefault="00791119">
      <w:pPr>
        <w:pStyle w:val="TOC1"/>
        <w:tabs>
          <w:tab w:val="right" w:leader="dot" w:pos="9016"/>
        </w:tabs>
        <w:rPr>
          <w:rFonts w:eastAsiaTheme="minorEastAsia"/>
          <w:noProof/>
          <w:szCs w:val="24"/>
          <w:lang w:eastAsia="en-AU"/>
        </w:rPr>
      </w:pPr>
      <w:r>
        <w:fldChar w:fldCharType="begin"/>
      </w:r>
      <w:r>
        <w:instrText xml:space="preserve"> TOC \h \z \u \t "Heading 2,1" </w:instrText>
      </w:r>
      <w:r>
        <w:fldChar w:fldCharType="separate"/>
      </w:r>
      <w:hyperlink w:anchor="_Toc193468414" w:history="1"/>
      <w:hyperlink w:anchor="_Toc193468417" w:history="1">
        <w:r w:rsidRPr="00F678AF">
          <w:rPr>
            <w:rStyle w:val="Hyperlink"/>
            <w:noProof/>
          </w:rPr>
          <w:t>A note on language</w:t>
        </w:r>
        <w:r>
          <w:rPr>
            <w:noProof/>
            <w:webHidden/>
          </w:rPr>
          <w:tab/>
        </w:r>
        <w:r>
          <w:rPr>
            <w:noProof/>
            <w:webHidden/>
          </w:rPr>
          <w:fldChar w:fldCharType="begin"/>
        </w:r>
        <w:r>
          <w:rPr>
            <w:noProof/>
            <w:webHidden/>
          </w:rPr>
          <w:instrText xml:space="preserve"> PAGEREF _Toc193468417 \h </w:instrText>
        </w:r>
        <w:r>
          <w:rPr>
            <w:noProof/>
            <w:webHidden/>
          </w:rPr>
        </w:r>
        <w:r>
          <w:rPr>
            <w:noProof/>
            <w:webHidden/>
          </w:rPr>
          <w:fldChar w:fldCharType="separate"/>
        </w:r>
        <w:r>
          <w:rPr>
            <w:noProof/>
            <w:webHidden/>
          </w:rPr>
          <w:t>4</w:t>
        </w:r>
        <w:r>
          <w:rPr>
            <w:noProof/>
            <w:webHidden/>
          </w:rPr>
          <w:fldChar w:fldCharType="end"/>
        </w:r>
      </w:hyperlink>
    </w:p>
    <w:p w14:paraId="6D174ED6" w14:textId="596FB1B7" w:rsidR="00791119" w:rsidRDefault="00791119">
      <w:pPr>
        <w:pStyle w:val="TOC1"/>
        <w:tabs>
          <w:tab w:val="right" w:leader="dot" w:pos="9016"/>
        </w:tabs>
        <w:rPr>
          <w:rFonts w:eastAsiaTheme="minorEastAsia"/>
          <w:noProof/>
          <w:szCs w:val="24"/>
          <w:lang w:eastAsia="en-AU"/>
        </w:rPr>
      </w:pPr>
      <w:hyperlink w:anchor="_Toc193468418" w:history="1">
        <w:r w:rsidRPr="00F678AF">
          <w:rPr>
            <w:rStyle w:val="Hyperlink"/>
            <w:noProof/>
          </w:rPr>
          <w:t>Why we developed this guide</w:t>
        </w:r>
        <w:r>
          <w:rPr>
            <w:noProof/>
            <w:webHidden/>
          </w:rPr>
          <w:tab/>
        </w:r>
        <w:r>
          <w:rPr>
            <w:noProof/>
            <w:webHidden/>
          </w:rPr>
          <w:fldChar w:fldCharType="begin"/>
        </w:r>
        <w:r>
          <w:rPr>
            <w:noProof/>
            <w:webHidden/>
          </w:rPr>
          <w:instrText xml:space="preserve"> PAGEREF _Toc193468418 \h </w:instrText>
        </w:r>
        <w:r>
          <w:rPr>
            <w:noProof/>
            <w:webHidden/>
          </w:rPr>
        </w:r>
        <w:r>
          <w:rPr>
            <w:noProof/>
            <w:webHidden/>
          </w:rPr>
          <w:fldChar w:fldCharType="separate"/>
        </w:r>
        <w:r>
          <w:rPr>
            <w:noProof/>
            <w:webHidden/>
          </w:rPr>
          <w:t>6</w:t>
        </w:r>
        <w:r>
          <w:rPr>
            <w:noProof/>
            <w:webHidden/>
          </w:rPr>
          <w:fldChar w:fldCharType="end"/>
        </w:r>
      </w:hyperlink>
    </w:p>
    <w:p w14:paraId="32384B06" w14:textId="1CBDFB3F" w:rsidR="00791119" w:rsidRDefault="00791119">
      <w:pPr>
        <w:pStyle w:val="TOC1"/>
        <w:tabs>
          <w:tab w:val="right" w:leader="dot" w:pos="9016"/>
        </w:tabs>
        <w:rPr>
          <w:rFonts w:eastAsiaTheme="minorEastAsia"/>
          <w:noProof/>
          <w:szCs w:val="24"/>
          <w:lang w:eastAsia="en-AU"/>
        </w:rPr>
      </w:pPr>
      <w:hyperlink w:anchor="_Toc193468419" w:history="1">
        <w:r w:rsidRPr="00F678AF">
          <w:rPr>
            <w:rStyle w:val="Hyperlink"/>
            <w:noProof/>
          </w:rPr>
          <w:t>DCA’s 4 steps for D&amp;I data at work</w:t>
        </w:r>
        <w:r>
          <w:rPr>
            <w:noProof/>
            <w:webHidden/>
          </w:rPr>
          <w:tab/>
        </w:r>
        <w:r>
          <w:rPr>
            <w:noProof/>
            <w:webHidden/>
          </w:rPr>
          <w:fldChar w:fldCharType="begin"/>
        </w:r>
        <w:r>
          <w:rPr>
            <w:noProof/>
            <w:webHidden/>
          </w:rPr>
          <w:instrText xml:space="preserve"> PAGEREF _Toc193468419 \h </w:instrText>
        </w:r>
        <w:r>
          <w:rPr>
            <w:noProof/>
            <w:webHidden/>
          </w:rPr>
        </w:r>
        <w:r>
          <w:rPr>
            <w:noProof/>
            <w:webHidden/>
          </w:rPr>
          <w:fldChar w:fldCharType="separate"/>
        </w:r>
        <w:r>
          <w:rPr>
            <w:noProof/>
            <w:webHidden/>
          </w:rPr>
          <w:t>8</w:t>
        </w:r>
        <w:r>
          <w:rPr>
            <w:noProof/>
            <w:webHidden/>
          </w:rPr>
          <w:fldChar w:fldCharType="end"/>
        </w:r>
      </w:hyperlink>
    </w:p>
    <w:p w14:paraId="34A2F295" w14:textId="4B46A9C9" w:rsidR="00791119" w:rsidRDefault="00791119">
      <w:pPr>
        <w:pStyle w:val="TOC1"/>
        <w:tabs>
          <w:tab w:val="right" w:leader="dot" w:pos="9016"/>
        </w:tabs>
        <w:rPr>
          <w:rFonts w:eastAsiaTheme="minorEastAsia"/>
          <w:noProof/>
          <w:szCs w:val="24"/>
          <w:lang w:eastAsia="en-AU"/>
        </w:rPr>
      </w:pPr>
      <w:hyperlink w:anchor="_Toc193468420" w:history="1">
        <w:r w:rsidRPr="00F678AF">
          <w:rPr>
            <w:rStyle w:val="Hyperlink"/>
            <w:noProof/>
          </w:rPr>
          <w:t>Guiding principles for collecting and reporting on D&amp;I data</w:t>
        </w:r>
        <w:r>
          <w:rPr>
            <w:noProof/>
            <w:webHidden/>
          </w:rPr>
          <w:tab/>
        </w:r>
        <w:r>
          <w:rPr>
            <w:noProof/>
            <w:webHidden/>
          </w:rPr>
          <w:fldChar w:fldCharType="begin"/>
        </w:r>
        <w:r>
          <w:rPr>
            <w:noProof/>
            <w:webHidden/>
          </w:rPr>
          <w:instrText xml:space="preserve"> PAGEREF _Toc193468420 \h </w:instrText>
        </w:r>
        <w:r>
          <w:rPr>
            <w:noProof/>
            <w:webHidden/>
          </w:rPr>
        </w:r>
        <w:r>
          <w:rPr>
            <w:noProof/>
            <w:webHidden/>
          </w:rPr>
          <w:fldChar w:fldCharType="separate"/>
        </w:r>
        <w:r>
          <w:rPr>
            <w:noProof/>
            <w:webHidden/>
          </w:rPr>
          <w:t>9</w:t>
        </w:r>
        <w:r>
          <w:rPr>
            <w:noProof/>
            <w:webHidden/>
          </w:rPr>
          <w:fldChar w:fldCharType="end"/>
        </w:r>
      </w:hyperlink>
    </w:p>
    <w:p w14:paraId="6A4109F4" w14:textId="09066D04" w:rsidR="00791119" w:rsidRDefault="00791119">
      <w:pPr>
        <w:pStyle w:val="TOC1"/>
        <w:tabs>
          <w:tab w:val="right" w:leader="dot" w:pos="9016"/>
        </w:tabs>
        <w:rPr>
          <w:rFonts w:eastAsiaTheme="minorEastAsia"/>
          <w:noProof/>
          <w:szCs w:val="24"/>
          <w:lang w:eastAsia="en-AU"/>
        </w:rPr>
      </w:pPr>
      <w:hyperlink w:anchor="_Toc193468421" w:history="1">
        <w:r w:rsidRPr="00F678AF">
          <w:rPr>
            <w:rStyle w:val="Hyperlink"/>
            <w:noProof/>
          </w:rPr>
          <w:t>STEP 1: Prepare</w:t>
        </w:r>
        <w:r>
          <w:rPr>
            <w:noProof/>
            <w:webHidden/>
          </w:rPr>
          <w:tab/>
        </w:r>
        <w:r>
          <w:rPr>
            <w:noProof/>
            <w:webHidden/>
          </w:rPr>
          <w:fldChar w:fldCharType="begin"/>
        </w:r>
        <w:r>
          <w:rPr>
            <w:noProof/>
            <w:webHidden/>
          </w:rPr>
          <w:instrText xml:space="preserve"> PAGEREF _Toc193468421 \h </w:instrText>
        </w:r>
        <w:r>
          <w:rPr>
            <w:noProof/>
            <w:webHidden/>
          </w:rPr>
        </w:r>
        <w:r>
          <w:rPr>
            <w:noProof/>
            <w:webHidden/>
          </w:rPr>
          <w:fldChar w:fldCharType="separate"/>
        </w:r>
        <w:r>
          <w:rPr>
            <w:noProof/>
            <w:webHidden/>
          </w:rPr>
          <w:t>11</w:t>
        </w:r>
        <w:r>
          <w:rPr>
            <w:noProof/>
            <w:webHidden/>
          </w:rPr>
          <w:fldChar w:fldCharType="end"/>
        </w:r>
      </w:hyperlink>
    </w:p>
    <w:p w14:paraId="5C27CEF3" w14:textId="4EBDF129" w:rsidR="00791119" w:rsidRDefault="00791119">
      <w:pPr>
        <w:pStyle w:val="TOC1"/>
        <w:tabs>
          <w:tab w:val="right" w:leader="dot" w:pos="9016"/>
        </w:tabs>
        <w:rPr>
          <w:rFonts w:eastAsiaTheme="minorEastAsia"/>
          <w:noProof/>
          <w:szCs w:val="24"/>
          <w:lang w:eastAsia="en-AU"/>
        </w:rPr>
      </w:pPr>
      <w:hyperlink w:anchor="_Toc193468422" w:history="1">
        <w:r w:rsidRPr="00F678AF">
          <w:rPr>
            <w:rStyle w:val="Hyperlink"/>
            <w:noProof/>
          </w:rPr>
          <w:t>STEP 2: Collect</w:t>
        </w:r>
        <w:r>
          <w:rPr>
            <w:noProof/>
            <w:webHidden/>
          </w:rPr>
          <w:tab/>
        </w:r>
        <w:r>
          <w:rPr>
            <w:noProof/>
            <w:webHidden/>
          </w:rPr>
          <w:fldChar w:fldCharType="begin"/>
        </w:r>
        <w:r>
          <w:rPr>
            <w:noProof/>
            <w:webHidden/>
          </w:rPr>
          <w:instrText xml:space="preserve"> PAGEREF _Toc193468422 \h </w:instrText>
        </w:r>
        <w:r>
          <w:rPr>
            <w:noProof/>
            <w:webHidden/>
          </w:rPr>
        </w:r>
        <w:r>
          <w:rPr>
            <w:noProof/>
            <w:webHidden/>
          </w:rPr>
          <w:fldChar w:fldCharType="separate"/>
        </w:r>
        <w:r>
          <w:rPr>
            <w:noProof/>
            <w:webHidden/>
          </w:rPr>
          <w:t>17</w:t>
        </w:r>
        <w:r>
          <w:rPr>
            <w:noProof/>
            <w:webHidden/>
          </w:rPr>
          <w:fldChar w:fldCharType="end"/>
        </w:r>
      </w:hyperlink>
    </w:p>
    <w:p w14:paraId="7E3B1D09" w14:textId="595D7A8B" w:rsidR="00791119" w:rsidRDefault="00791119">
      <w:pPr>
        <w:pStyle w:val="TOC1"/>
        <w:tabs>
          <w:tab w:val="right" w:leader="dot" w:pos="9016"/>
        </w:tabs>
        <w:rPr>
          <w:rFonts w:eastAsiaTheme="minorEastAsia"/>
          <w:noProof/>
          <w:szCs w:val="24"/>
          <w:lang w:eastAsia="en-AU"/>
        </w:rPr>
      </w:pPr>
      <w:hyperlink w:anchor="_Toc193468423" w:history="1">
        <w:r w:rsidRPr="00F678AF">
          <w:rPr>
            <w:rStyle w:val="Hyperlink"/>
            <w:noProof/>
          </w:rPr>
          <w:t>STEP 3: Analyse</w:t>
        </w:r>
        <w:r>
          <w:rPr>
            <w:noProof/>
            <w:webHidden/>
          </w:rPr>
          <w:tab/>
        </w:r>
        <w:r>
          <w:rPr>
            <w:noProof/>
            <w:webHidden/>
          </w:rPr>
          <w:fldChar w:fldCharType="begin"/>
        </w:r>
        <w:r>
          <w:rPr>
            <w:noProof/>
            <w:webHidden/>
          </w:rPr>
          <w:instrText xml:space="preserve"> PAGEREF _Toc193468423 \h </w:instrText>
        </w:r>
        <w:r>
          <w:rPr>
            <w:noProof/>
            <w:webHidden/>
          </w:rPr>
        </w:r>
        <w:r>
          <w:rPr>
            <w:noProof/>
            <w:webHidden/>
          </w:rPr>
          <w:fldChar w:fldCharType="separate"/>
        </w:r>
        <w:r>
          <w:rPr>
            <w:noProof/>
            <w:webHidden/>
          </w:rPr>
          <w:t>23</w:t>
        </w:r>
        <w:r>
          <w:rPr>
            <w:noProof/>
            <w:webHidden/>
          </w:rPr>
          <w:fldChar w:fldCharType="end"/>
        </w:r>
      </w:hyperlink>
    </w:p>
    <w:p w14:paraId="3CD5DD87" w14:textId="0EF910C0" w:rsidR="00791119" w:rsidRDefault="00791119">
      <w:pPr>
        <w:pStyle w:val="TOC1"/>
        <w:tabs>
          <w:tab w:val="right" w:leader="dot" w:pos="9016"/>
        </w:tabs>
        <w:rPr>
          <w:rFonts w:eastAsiaTheme="minorEastAsia"/>
          <w:noProof/>
          <w:szCs w:val="24"/>
          <w:lang w:eastAsia="en-AU"/>
        </w:rPr>
      </w:pPr>
      <w:hyperlink w:anchor="_Toc193468424" w:history="1">
        <w:r w:rsidRPr="00F678AF">
          <w:rPr>
            <w:rStyle w:val="Hyperlink"/>
            <w:noProof/>
          </w:rPr>
          <w:t>STEP 4: Report</w:t>
        </w:r>
        <w:r>
          <w:rPr>
            <w:noProof/>
            <w:webHidden/>
          </w:rPr>
          <w:tab/>
        </w:r>
        <w:r>
          <w:rPr>
            <w:noProof/>
            <w:webHidden/>
          </w:rPr>
          <w:fldChar w:fldCharType="begin"/>
        </w:r>
        <w:r>
          <w:rPr>
            <w:noProof/>
            <w:webHidden/>
          </w:rPr>
          <w:instrText xml:space="preserve"> PAGEREF _Toc193468424 \h </w:instrText>
        </w:r>
        <w:r>
          <w:rPr>
            <w:noProof/>
            <w:webHidden/>
          </w:rPr>
        </w:r>
        <w:r>
          <w:rPr>
            <w:noProof/>
            <w:webHidden/>
          </w:rPr>
          <w:fldChar w:fldCharType="separate"/>
        </w:r>
        <w:r>
          <w:rPr>
            <w:noProof/>
            <w:webHidden/>
          </w:rPr>
          <w:t>32</w:t>
        </w:r>
        <w:r>
          <w:rPr>
            <w:noProof/>
            <w:webHidden/>
          </w:rPr>
          <w:fldChar w:fldCharType="end"/>
        </w:r>
      </w:hyperlink>
    </w:p>
    <w:p w14:paraId="73A0563D" w14:textId="7D417385" w:rsidR="00791119" w:rsidRDefault="00791119">
      <w:pPr>
        <w:pStyle w:val="TOC1"/>
        <w:tabs>
          <w:tab w:val="right" w:leader="dot" w:pos="9016"/>
        </w:tabs>
        <w:rPr>
          <w:rFonts w:eastAsiaTheme="minorEastAsia"/>
          <w:noProof/>
          <w:szCs w:val="24"/>
          <w:lang w:eastAsia="en-AU"/>
        </w:rPr>
      </w:pPr>
      <w:hyperlink w:anchor="_Toc193468425" w:history="1">
        <w:r w:rsidRPr="00F678AF">
          <w:rPr>
            <w:rStyle w:val="Hyperlink"/>
            <w:noProof/>
          </w:rPr>
          <w:t>Appendix A: Calculating overall workforce diversity statistics</w:t>
        </w:r>
        <w:r>
          <w:rPr>
            <w:noProof/>
            <w:webHidden/>
          </w:rPr>
          <w:tab/>
        </w:r>
        <w:r>
          <w:rPr>
            <w:noProof/>
            <w:webHidden/>
          </w:rPr>
          <w:fldChar w:fldCharType="begin"/>
        </w:r>
        <w:r>
          <w:rPr>
            <w:noProof/>
            <w:webHidden/>
          </w:rPr>
          <w:instrText xml:space="preserve"> PAGEREF _Toc193468425 \h </w:instrText>
        </w:r>
        <w:r>
          <w:rPr>
            <w:noProof/>
            <w:webHidden/>
          </w:rPr>
        </w:r>
        <w:r>
          <w:rPr>
            <w:noProof/>
            <w:webHidden/>
          </w:rPr>
          <w:fldChar w:fldCharType="separate"/>
        </w:r>
        <w:r>
          <w:rPr>
            <w:noProof/>
            <w:webHidden/>
          </w:rPr>
          <w:t>36</w:t>
        </w:r>
        <w:r>
          <w:rPr>
            <w:noProof/>
            <w:webHidden/>
          </w:rPr>
          <w:fldChar w:fldCharType="end"/>
        </w:r>
      </w:hyperlink>
    </w:p>
    <w:p w14:paraId="691945F6" w14:textId="7222F4A9" w:rsidR="00791119" w:rsidRDefault="00791119">
      <w:pPr>
        <w:pStyle w:val="TOC1"/>
        <w:tabs>
          <w:tab w:val="right" w:leader="dot" w:pos="9016"/>
        </w:tabs>
        <w:rPr>
          <w:rFonts w:eastAsiaTheme="minorEastAsia"/>
          <w:noProof/>
          <w:szCs w:val="24"/>
          <w:lang w:eastAsia="en-AU"/>
        </w:rPr>
      </w:pPr>
      <w:hyperlink w:anchor="_Toc193468426" w:history="1">
        <w:r w:rsidRPr="00F678AF">
          <w:rPr>
            <w:rStyle w:val="Hyperlink"/>
            <w:noProof/>
          </w:rPr>
          <w:t>Appendix B: Diversity of the Australian workforce</w:t>
        </w:r>
        <w:r>
          <w:rPr>
            <w:noProof/>
            <w:webHidden/>
          </w:rPr>
          <w:tab/>
        </w:r>
        <w:r>
          <w:rPr>
            <w:noProof/>
            <w:webHidden/>
          </w:rPr>
          <w:fldChar w:fldCharType="begin"/>
        </w:r>
        <w:r>
          <w:rPr>
            <w:noProof/>
            <w:webHidden/>
          </w:rPr>
          <w:instrText xml:space="preserve"> PAGEREF _Toc193468426 \h </w:instrText>
        </w:r>
        <w:r>
          <w:rPr>
            <w:noProof/>
            <w:webHidden/>
          </w:rPr>
        </w:r>
        <w:r>
          <w:rPr>
            <w:noProof/>
            <w:webHidden/>
          </w:rPr>
          <w:fldChar w:fldCharType="separate"/>
        </w:r>
        <w:r>
          <w:rPr>
            <w:noProof/>
            <w:webHidden/>
          </w:rPr>
          <w:t>38</w:t>
        </w:r>
        <w:r>
          <w:rPr>
            <w:noProof/>
            <w:webHidden/>
          </w:rPr>
          <w:fldChar w:fldCharType="end"/>
        </w:r>
      </w:hyperlink>
    </w:p>
    <w:p w14:paraId="099DEC7A" w14:textId="7BF69357" w:rsidR="00791119" w:rsidRDefault="00791119">
      <w:pPr>
        <w:pStyle w:val="TOC1"/>
        <w:tabs>
          <w:tab w:val="right" w:leader="dot" w:pos="9016"/>
        </w:tabs>
        <w:rPr>
          <w:rFonts w:eastAsiaTheme="minorEastAsia"/>
          <w:noProof/>
          <w:szCs w:val="24"/>
          <w:lang w:eastAsia="en-AU"/>
        </w:rPr>
      </w:pPr>
      <w:hyperlink w:anchor="_Toc193468427" w:history="1">
        <w:r w:rsidRPr="00F678AF">
          <w:rPr>
            <w:rStyle w:val="Hyperlink"/>
            <w:noProof/>
          </w:rPr>
          <w:t>Appendix C: Glossary of terms</w:t>
        </w:r>
        <w:r>
          <w:rPr>
            <w:noProof/>
            <w:webHidden/>
          </w:rPr>
          <w:tab/>
        </w:r>
        <w:r>
          <w:rPr>
            <w:noProof/>
            <w:webHidden/>
          </w:rPr>
          <w:fldChar w:fldCharType="begin"/>
        </w:r>
        <w:r>
          <w:rPr>
            <w:noProof/>
            <w:webHidden/>
          </w:rPr>
          <w:instrText xml:space="preserve"> PAGEREF _Toc193468427 \h </w:instrText>
        </w:r>
        <w:r>
          <w:rPr>
            <w:noProof/>
            <w:webHidden/>
          </w:rPr>
        </w:r>
        <w:r>
          <w:rPr>
            <w:noProof/>
            <w:webHidden/>
          </w:rPr>
          <w:fldChar w:fldCharType="separate"/>
        </w:r>
        <w:r>
          <w:rPr>
            <w:noProof/>
            <w:webHidden/>
          </w:rPr>
          <w:t>40</w:t>
        </w:r>
        <w:r>
          <w:rPr>
            <w:noProof/>
            <w:webHidden/>
          </w:rPr>
          <w:fldChar w:fldCharType="end"/>
        </w:r>
      </w:hyperlink>
    </w:p>
    <w:p w14:paraId="089D78E1" w14:textId="0A85AC56" w:rsidR="00653331" w:rsidRPr="0059218B" w:rsidRDefault="00791119" w:rsidP="00653331">
      <w:r>
        <w:fldChar w:fldCharType="end"/>
      </w:r>
    </w:p>
    <w:p w14:paraId="6D5DC3CE" w14:textId="77777777" w:rsidR="007B335E" w:rsidRPr="0059218B" w:rsidRDefault="007B335E">
      <w:pPr>
        <w:rPr>
          <w:rFonts w:asciiTheme="majorHAnsi" w:eastAsiaTheme="majorEastAsia" w:hAnsiTheme="majorHAnsi" w:cstheme="majorBidi"/>
          <w:color w:val="0F4761" w:themeColor="accent1" w:themeShade="BF"/>
          <w:sz w:val="40"/>
          <w:szCs w:val="40"/>
        </w:rPr>
      </w:pPr>
      <w:r w:rsidRPr="0059218B">
        <w:br w:type="page"/>
      </w:r>
    </w:p>
    <w:p w14:paraId="6B121597" w14:textId="77777777" w:rsidR="004059BC" w:rsidRPr="0059218B" w:rsidRDefault="004059BC" w:rsidP="00EA26AA">
      <w:pPr>
        <w:pStyle w:val="Heading2"/>
      </w:pPr>
      <w:bookmarkStart w:id="5" w:name="_Toc193468417"/>
      <w:r w:rsidRPr="0059218B">
        <w:t>A</w:t>
      </w:r>
      <w:bookmarkStart w:id="6" w:name="_Toc172280102"/>
      <w:r w:rsidRPr="0059218B">
        <w:t xml:space="preserve"> note on language</w:t>
      </w:r>
      <w:bookmarkEnd w:id="5"/>
      <w:bookmarkEnd w:id="6"/>
    </w:p>
    <w:p w14:paraId="2FD340EF" w14:textId="0D304650" w:rsidR="004059BC" w:rsidRPr="0059218B" w:rsidRDefault="004059BC" w:rsidP="004059BC">
      <w:pPr>
        <w:pStyle w:val="ResearchReport"/>
        <w:rPr>
          <w:rFonts w:asciiTheme="minorHAnsi" w:hAnsiTheme="minorHAnsi"/>
          <w:lang w:val="en-AU"/>
        </w:rPr>
      </w:pPr>
      <w:r w:rsidRPr="0059218B">
        <w:rPr>
          <w:rFonts w:asciiTheme="minorHAnsi" w:hAnsiTheme="minorHAnsi"/>
          <w:lang w:val="en-AU"/>
        </w:rPr>
        <w:t xml:space="preserve">Language is a powerful tool for building inclusion (or exclusion) at work. The way we speak to each other </w:t>
      </w:r>
      <w:r w:rsidR="0075659F" w:rsidRPr="0059218B">
        <w:rPr>
          <w:rFonts w:asciiTheme="minorHAnsi" w:hAnsiTheme="minorHAnsi"/>
          <w:lang w:val="en-AU"/>
        </w:rPr>
        <w:t xml:space="preserve">can </w:t>
      </w:r>
      <w:r w:rsidRPr="0059218B">
        <w:rPr>
          <w:rFonts w:asciiTheme="minorHAnsi" w:hAnsiTheme="minorHAnsi"/>
          <w:lang w:val="en-AU"/>
        </w:rPr>
        <w:t>create a culture in which everyone can feel valued, respected and part of the team (included), rather than undervalued, disrespected and out of place (excluded). DCA is committed to language that is respectful, accurate and relevant.</w:t>
      </w:r>
      <w:r w:rsidR="006310EC">
        <w:rPr>
          <w:rFonts w:asciiTheme="minorHAnsi" w:hAnsiTheme="minorHAnsi"/>
          <w:lang w:val="en-AU"/>
        </w:rPr>
        <w:t xml:space="preserve"> See Appendix C: Glossary of terms for more information on the terms we use when referring to D&amp;I data. </w:t>
      </w:r>
    </w:p>
    <w:p w14:paraId="78413FE4" w14:textId="51B2F8B2" w:rsidR="00764D1B" w:rsidRPr="0059218B" w:rsidRDefault="00764D1B" w:rsidP="00764D1B">
      <w:pPr>
        <w:pStyle w:val="ResearchReport"/>
        <w:rPr>
          <w:rFonts w:asciiTheme="minorHAnsi" w:hAnsiTheme="minorHAnsi"/>
          <w:lang w:val="en-AU"/>
        </w:rPr>
      </w:pPr>
      <w:r w:rsidRPr="0059218B">
        <w:rPr>
          <w:rFonts w:asciiTheme="minorHAnsi" w:hAnsiTheme="minorHAnsi"/>
          <w:lang w:val="en-AU"/>
        </w:rPr>
        <w:t>We recognise that no single term would capture everyone’s lived experience, and different groups or individuals prefer certain terms. We recognise and respect each person’s right to identify with terms that they feel most comfortable with. Where quoting other organisations or existing research, we have used the terms from those sources.</w:t>
      </w:r>
    </w:p>
    <w:p w14:paraId="279CB5FE" w14:textId="0D21F05B" w:rsidR="00655A3B" w:rsidRPr="0059218B" w:rsidRDefault="00655A3B" w:rsidP="00655A3B">
      <w:pPr>
        <w:pStyle w:val="ResearchReport"/>
        <w:rPr>
          <w:rFonts w:asciiTheme="minorHAnsi" w:hAnsiTheme="minorHAnsi"/>
          <w:lang w:val="en-AU"/>
        </w:rPr>
      </w:pPr>
      <w:r w:rsidRPr="0059218B">
        <w:rPr>
          <w:rFonts w:asciiTheme="minorHAnsi" w:hAnsiTheme="minorHAnsi"/>
          <w:b/>
          <w:bCs/>
          <w:lang w:val="en-AU"/>
        </w:rPr>
        <w:t xml:space="preserve">Constantly evolving. </w:t>
      </w:r>
      <w:r w:rsidRPr="0059218B">
        <w:rPr>
          <w:rFonts w:asciiTheme="minorHAnsi" w:hAnsiTheme="minorHAnsi"/>
          <w:lang w:val="en-AU"/>
        </w:rPr>
        <w:t>Language is socially constructed, dynamic and constantly evolving. As people’s lived experiences change, so too does the language we use to describe ourselves.</w:t>
      </w:r>
      <w:r w:rsidR="00820802">
        <w:rPr>
          <w:rFonts w:asciiTheme="minorHAnsi" w:hAnsiTheme="minorHAnsi"/>
          <w:lang w:val="en-AU"/>
        </w:rPr>
        <w:t xml:space="preserve"> So,</w:t>
      </w:r>
      <w:r w:rsidRPr="0059218B">
        <w:rPr>
          <w:rFonts w:asciiTheme="minorHAnsi" w:hAnsiTheme="minorHAnsi"/>
          <w:lang w:val="en-AU"/>
        </w:rPr>
        <w:t xml:space="preserve"> </w:t>
      </w:r>
      <w:r>
        <w:rPr>
          <w:rFonts w:asciiTheme="minorHAnsi" w:hAnsiTheme="minorHAnsi"/>
          <w:lang w:val="en-AU"/>
        </w:rPr>
        <w:t>as well as</w:t>
      </w:r>
      <w:r w:rsidRPr="0059218B">
        <w:rPr>
          <w:rFonts w:asciiTheme="minorHAnsi" w:hAnsiTheme="minorHAnsi"/>
          <w:lang w:val="en-AU"/>
        </w:rPr>
        <w:t xml:space="preserve"> recognising that one label or description may not capture the breadth and depth of the lived realities of </w:t>
      </w:r>
      <w:r>
        <w:rPr>
          <w:rFonts w:asciiTheme="minorHAnsi" w:hAnsiTheme="minorHAnsi"/>
          <w:lang w:val="en-AU"/>
        </w:rPr>
        <w:t>a</w:t>
      </w:r>
      <w:r w:rsidRPr="0059218B">
        <w:rPr>
          <w:rFonts w:asciiTheme="minorHAnsi" w:hAnsiTheme="minorHAnsi"/>
          <w:lang w:val="en-AU"/>
        </w:rPr>
        <w:t xml:space="preserve"> group, we understand that descriptions change over time.</w:t>
      </w:r>
    </w:p>
    <w:p w14:paraId="566EED0F" w14:textId="77777777" w:rsidR="004059BC" w:rsidRDefault="004059BC" w:rsidP="004059BC">
      <w:pPr>
        <w:pStyle w:val="ResearchReport"/>
        <w:rPr>
          <w:rFonts w:asciiTheme="minorHAnsi" w:hAnsiTheme="minorHAnsi"/>
          <w:lang w:val="en-AU"/>
        </w:rPr>
      </w:pPr>
      <w:r w:rsidRPr="0059218B">
        <w:rPr>
          <w:rFonts w:asciiTheme="minorHAnsi" w:hAnsiTheme="minorHAnsi"/>
          <w:b/>
          <w:bCs/>
          <w:lang w:val="en-AU"/>
        </w:rPr>
        <w:t xml:space="preserve">Lived experiences. </w:t>
      </w:r>
      <w:r w:rsidRPr="0059218B">
        <w:rPr>
          <w:rFonts w:asciiTheme="minorHAnsi" w:hAnsiTheme="minorHAnsi"/>
          <w:lang w:val="en-AU"/>
        </w:rPr>
        <w:t>The terminology we have used in this guide is based on advice from peak groups consisting of and representing people with lived experiences.</w:t>
      </w:r>
    </w:p>
    <w:p w14:paraId="31DC21F8" w14:textId="377F7E97" w:rsidR="004B31CC" w:rsidRDefault="004B31CC" w:rsidP="004059BC">
      <w:pPr>
        <w:pStyle w:val="ResearchReport"/>
        <w:rPr>
          <w:rFonts w:ascii="Aptos" w:hAnsi="Aptos" w:cs="Arial"/>
          <w:sz w:val="28"/>
          <w:szCs w:val="32"/>
          <w:lang w:val="en-AU" w:eastAsia="en-US"/>
        </w:rPr>
      </w:pPr>
      <w:r w:rsidRPr="0059218B">
        <w:rPr>
          <w:rFonts w:asciiTheme="minorHAnsi" w:hAnsiTheme="minorHAnsi" w:cs="Arial"/>
          <w:b/>
          <w:bCs/>
          <w:lang w:val="en-AU"/>
        </w:rPr>
        <w:t xml:space="preserve">Willing to change. </w:t>
      </w:r>
      <w:r w:rsidRPr="0059218B">
        <w:rPr>
          <w:rFonts w:asciiTheme="minorHAnsi" w:hAnsiTheme="minorHAnsi" w:cs="Arial"/>
          <w:lang w:val="en-AU"/>
        </w:rPr>
        <w:t>Our intention has always been to be inclusive of everyone. We acknowledge that we may not always get it right but commit ourselves to be open to change</w:t>
      </w:r>
      <w:r>
        <w:rPr>
          <w:rFonts w:asciiTheme="minorHAnsi" w:hAnsiTheme="minorHAnsi" w:cs="Arial"/>
          <w:lang w:val="en-AU"/>
        </w:rPr>
        <w:t>,</w:t>
      </w:r>
      <w:r w:rsidRPr="0059218B">
        <w:rPr>
          <w:rFonts w:asciiTheme="minorHAnsi" w:hAnsiTheme="minorHAnsi" w:cs="Arial"/>
          <w:lang w:val="en-AU"/>
        </w:rPr>
        <w:t xml:space="preserve"> to listening and </w:t>
      </w:r>
      <w:r>
        <w:rPr>
          <w:rFonts w:asciiTheme="minorHAnsi" w:hAnsiTheme="minorHAnsi" w:cs="Arial"/>
          <w:lang w:val="en-AU"/>
        </w:rPr>
        <w:t xml:space="preserve">to </w:t>
      </w:r>
      <w:r w:rsidRPr="0059218B">
        <w:rPr>
          <w:rFonts w:asciiTheme="minorHAnsi" w:hAnsiTheme="minorHAnsi" w:cs="Arial"/>
          <w:lang w:val="en-AU"/>
        </w:rPr>
        <w:t>continuing to learn from people with lived experience.</w:t>
      </w:r>
    </w:p>
    <w:p w14:paraId="54DD4434" w14:textId="1766437B" w:rsidR="00175230" w:rsidRPr="008539D3" w:rsidRDefault="00175230" w:rsidP="008539D3">
      <w:pPr>
        <w:pStyle w:val="Heading4"/>
      </w:pPr>
      <w:r w:rsidRPr="008539D3">
        <w:t>Specific terms</w:t>
      </w:r>
    </w:p>
    <w:p w14:paraId="45CD8ADA" w14:textId="4278EACF" w:rsidR="004059BC" w:rsidRPr="0059218B" w:rsidRDefault="004059BC" w:rsidP="004059BC">
      <w:pPr>
        <w:pStyle w:val="ResearchReport"/>
        <w:rPr>
          <w:rFonts w:asciiTheme="minorHAnsi" w:hAnsiTheme="minorHAnsi"/>
          <w:lang w:val="en-AU"/>
        </w:rPr>
      </w:pPr>
      <w:r w:rsidRPr="0059218B">
        <w:rPr>
          <w:rFonts w:asciiTheme="minorHAnsi" w:hAnsiTheme="minorHAnsi"/>
          <w:b/>
          <w:bCs/>
          <w:lang w:val="en-AU"/>
        </w:rPr>
        <w:t xml:space="preserve">Aboriginal and/or Torres Strait Islander </w:t>
      </w:r>
      <w:r w:rsidR="0075659F" w:rsidRPr="0059218B">
        <w:rPr>
          <w:rFonts w:asciiTheme="minorHAnsi" w:hAnsiTheme="minorHAnsi"/>
          <w:b/>
          <w:bCs/>
          <w:lang w:val="en-AU"/>
        </w:rPr>
        <w:t>p</w:t>
      </w:r>
      <w:r w:rsidRPr="0059218B">
        <w:rPr>
          <w:rFonts w:asciiTheme="minorHAnsi" w:hAnsiTheme="minorHAnsi"/>
          <w:b/>
          <w:bCs/>
          <w:lang w:val="en-AU"/>
        </w:rPr>
        <w:t xml:space="preserve">eople(s). </w:t>
      </w:r>
      <w:r w:rsidRPr="0059218B">
        <w:rPr>
          <w:rFonts w:asciiTheme="minorHAnsi" w:hAnsiTheme="minorHAnsi"/>
          <w:lang w:val="en-AU"/>
        </w:rPr>
        <w:t>We use the terms “Aboriginal and Torres Strait Islander peoples”, “Aboriginal and/or Torres Strait Islander peoples” (where the “and/or” recognises that some individuals belong to both groups) or “First Nations”. However, we recognise that this approach is not without contention. These terms do not reflect the diversity of Aboriginal and/or Torres Strait Islander peoples. Moreover, many prefer to be known by their specific group or clan names. We only use the term “Indigenous” when citing work that has used it.</w:t>
      </w:r>
    </w:p>
    <w:p w14:paraId="3FAA152A" w14:textId="35547D97" w:rsidR="004059BC" w:rsidRPr="0059218B" w:rsidRDefault="004059BC" w:rsidP="004059BC">
      <w:pPr>
        <w:pStyle w:val="ResearchReport"/>
        <w:rPr>
          <w:rFonts w:asciiTheme="minorHAnsi" w:hAnsiTheme="minorHAnsi"/>
          <w:lang w:val="en-AU"/>
        </w:rPr>
      </w:pPr>
      <w:r w:rsidRPr="0059218B">
        <w:rPr>
          <w:rFonts w:asciiTheme="minorHAnsi" w:hAnsiTheme="minorHAnsi"/>
          <w:b/>
          <w:bCs/>
          <w:lang w:val="en-AU"/>
        </w:rPr>
        <w:t xml:space="preserve">Binary gender language. </w:t>
      </w:r>
      <w:r w:rsidRPr="0059218B">
        <w:rPr>
          <w:rFonts w:asciiTheme="minorHAnsi" w:hAnsiTheme="minorHAnsi"/>
          <w:lang w:val="en-AU"/>
        </w:rPr>
        <w:t xml:space="preserve">We recognise that some people’s gender experiences and identities cannot be captured by binary language. Occasionally we use binary language in this report. Even though we recognise that gender does not exist in binary categories, these categories have very real </w:t>
      </w:r>
      <w:r w:rsidR="002D36F7" w:rsidRPr="0059218B">
        <w:rPr>
          <w:rFonts w:asciiTheme="minorHAnsi" w:hAnsiTheme="minorHAnsi"/>
          <w:lang w:val="en-AU"/>
        </w:rPr>
        <w:t>effects,</w:t>
      </w:r>
      <w:r w:rsidRPr="0059218B">
        <w:rPr>
          <w:rFonts w:asciiTheme="minorHAnsi" w:hAnsiTheme="minorHAnsi"/>
          <w:lang w:val="en-AU"/>
        </w:rPr>
        <w:t xml:space="preserve"> and sometimes binary language is necessary to convey the gendered nature and dynamics of our society.</w:t>
      </w:r>
    </w:p>
    <w:p w14:paraId="230A5869" w14:textId="2E124E44" w:rsidR="004059BC" w:rsidRPr="0059218B" w:rsidRDefault="004059BC" w:rsidP="004059BC">
      <w:pPr>
        <w:pStyle w:val="ResearchReport"/>
        <w:rPr>
          <w:rFonts w:asciiTheme="minorHAnsi" w:hAnsiTheme="minorHAnsi"/>
          <w:lang w:val="en-AU"/>
        </w:rPr>
      </w:pPr>
      <w:r w:rsidRPr="0059218B">
        <w:rPr>
          <w:rFonts w:asciiTheme="minorHAnsi" w:hAnsiTheme="minorHAnsi"/>
          <w:b/>
          <w:bCs/>
          <w:lang w:val="en-AU"/>
        </w:rPr>
        <w:t xml:space="preserve">Disability. </w:t>
      </w:r>
      <w:r w:rsidRPr="0059218B">
        <w:rPr>
          <w:rFonts w:asciiTheme="minorHAnsi" w:hAnsiTheme="minorHAnsi"/>
          <w:lang w:val="en-AU"/>
        </w:rPr>
        <w:t xml:space="preserve">We use person-first language </w:t>
      </w:r>
      <w:r w:rsidR="0059218B" w:rsidRPr="0059218B">
        <w:rPr>
          <w:rFonts w:asciiTheme="minorHAnsi" w:hAnsiTheme="minorHAnsi"/>
          <w:lang w:val="en-AU"/>
        </w:rPr>
        <w:t>with</w:t>
      </w:r>
      <w:r w:rsidRPr="0059218B">
        <w:rPr>
          <w:rFonts w:asciiTheme="minorHAnsi" w:hAnsiTheme="minorHAnsi"/>
          <w:lang w:val="en-AU"/>
        </w:rPr>
        <w:t xml:space="preserve"> the term “people with disability” but recognise that people with disability sometimes prefer identity-first language (i.e. </w:t>
      </w:r>
      <w:r w:rsidR="0059218B" w:rsidRPr="0059218B">
        <w:rPr>
          <w:rFonts w:asciiTheme="minorHAnsi" w:hAnsiTheme="minorHAnsi"/>
          <w:lang w:val="en-AU"/>
        </w:rPr>
        <w:t>“</w:t>
      </w:r>
      <w:r w:rsidRPr="0059218B">
        <w:rPr>
          <w:rFonts w:asciiTheme="minorHAnsi" w:hAnsiTheme="minorHAnsi"/>
          <w:lang w:val="en-AU"/>
        </w:rPr>
        <w:t xml:space="preserve">disabled </w:t>
      </w:r>
      <w:r w:rsidR="0059218B" w:rsidRPr="0059218B">
        <w:rPr>
          <w:rFonts w:asciiTheme="minorHAnsi" w:hAnsiTheme="minorHAnsi"/>
          <w:lang w:val="en-AU"/>
        </w:rPr>
        <w:t>people”</w:t>
      </w:r>
      <w:r w:rsidRPr="0059218B">
        <w:rPr>
          <w:rFonts w:asciiTheme="minorHAnsi" w:hAnsiTheme="minorHAnsi"/>
          <w:lang w:val="en-AU"/>
        </w:rPr>
        <w:t xml:space="preserve">). We also </w:t>
      </w:r>
      <w:r w:rsidR="009812FE" w:rsidRPr="0059218B">
        <w:rPr>
          <w:rFonts w:asciiTheme="minorHAnsi" w:hAnsiTheme="minorHAnsi"/>
          <w:lang w:val="en-AU"/>
        </w:rPr>
        <w:t>recognise</w:t>
      </w:r>
      <w:r w:rsidRPr="0059218B">
        <w:rPr>
          <w:rFonts w:asciiTheme="minorHAnsi" w:hAnsiTheme="minorHAnsi"/>
          <w:lang w:val="en-AU"/>
        </w:rPr>
        <w:t xml:space="preserve"> that </w:t>
      </w:r>
      <w:r w:rsidR="009812FE" w:rsidRPr="0059218B">
        <w:rPr>
          <w:rFonts w:asciiTheme="minorHAnsi" w:hAnsiTheme="minorHAnsi"/>
          <w:lang w:val="en-AU"/>
        </w:rPr>
        <w:t>when we use</w:t>
      </w:r>
      <w:r w:rsidRPr="0059218B">
        <w:rPr>
          <w:rFonts w:asciiTheme="minorHAnsi" w:hAnsiTheme="minorHAnsi"/>
          <w:lang w:val="en-AU"/>
        </w:rPr>
        <w:t xml:space="preserve"> the term</w:t>
      </w:r>
      <w:r w:rsidR="009812FE" w:rsidRPr="0059218B">
        <w:rPr>
          <w:rFonts w:asciiTheme="minorHAnsi" w:hAnsiTheme="minorHAnsi"/>
          <w:lang w:val="en-AU"/>
        </w:rPr>
        <w:t xml:space="preserve"> “disability” without breaking it down</w:t>
      </w:r>
      <w:r w:rsidRPr="0059218B">
        <w:rPr>
          <w:rFonts w:asciiTheme="minorHAnsi" w:hAnsiTheme="minorHAnsi"/>
          <w:lang w:val="en-AU"/>
        </w:rPr>
        <w:t xml:space="preserve">, we do not reflect the diversity in disabilities and </w:t>
      </w:r>
      <w:r w:rsidR="0059218B" w:rsidRPr="0059218B">
        <w:rPr>
          <w:rFonts w:asciiTheme="minorHAnsi" w:hAnsiTheme="minorHAnsi"/>
          <w:lang w:val="en-AU"/>
        </w:rPr>
        <w:t>how people’s experiences differ as a result</w:t>
      </w:r>
      <w:r w:rsidRPr="0059218B">
        <w:rPr>
          <w:rFonts w:asciiTheme="minorHAnsi" w:hAnsiTheme="minorHAnsi"/>
          <w:lang w:val="en-AU"/>
        </w:rPr>
        <w:t>. Further, some communities may not define themselves as disabled at all (</w:t>
      </w:r>
      <w:r w:rsidR="00FC62E1">
        <w:rPr>
          <w:rFonts w:asciiTheme="minorHAnsi" w:hAnsiTheme="minorHAnsi"/>
          <w:lang w:val="en-AU"/>
        </w:rPr>
        <w:t xml:space="preserve">e.g. </w:t>
      </w:r>
      <w:r w:rsidRPr="0059218B">
        <w:rPr>
          <w:rFonts w:asciiTheme="minorHAnsi" w:hAnsiTheme="minorHAnsi"/>
          <w:lang w:val="en-AU"/>
        </w:rPr>
        <w:t xml:space="preserve">Autistic and Deaf communities) but are still considered as such in policy language.  </w:t>
      </w:r>
    </w:p>
    <w:p w14:paraId="69DF8F8C" w14:textId="77777777" w:rsidR="00D9586C" w:rsidRPr="0059218B" w:rsidRDefault="00D9586C">
      <w:pPr>
        <w:rPr>
          <w:rFonts w:ascii="Aptos" w:eastAsia="Times New Roman" w:hAnsi="Aptos" w:cs="Arial"/>
          <w:kern w:val="0"/>
          <w:sz w:val="28"/>
          <w:szCs w:val="32"/>
          <w14:ligatures w14:val="none"/>
        </w:rPr>
      </w:pPr>
      <w:r w:rsidRPr="0059218B">
        <w:rPr>
          <w:rFonts w:ascii="Aptos" w:hAnsi="Aptos" w:cs="Arial"/>
          <w:sz w:val="28"/>
          <w:szCs w:val="32"/>
        </w:rPr>
        <w:br w:type="page"/>
      </w:r>
    </w:p>
    <w:p w14:paraId="67068210" w14:textId="2E673EB7" w:rsidR="007B335E" w:rsidRPr="00800890" w:rsidRDefault="007B335E" w:rsidP="00EA26AA">
      <w:pPr>
        <w:pStyle w:val="Heading2"/>
      </w:pPr>
      <w:bookmarkStart w:id="7" w:name="_Toc193468418"/>
      <w:r w:rsidRPr="00800890">
        <w:t>Wh</w:t>
      </w:r>
      <w:r w:rsidR="00D95AB4" w:rsidRPr="00800890">
        <w:t xml:space="preserve">y </w:t>
      </w:r>
      <w:r w:rsidR="00D9586C" w:rsidRPr="00800890">
        <w:t>w</w:t>
      </w:r>
      <w:r w:rsidR="00D95AB4" w:rsidRPr="00800890">
        <w:t xml:space="preserve">e </w:t>
      </w:r>
      <w:r w:rsidR="00D9586C" w:rsidRPr="00800890">
        <w:t>d</w:t>
      </w:r>
      <w:r w:rsidR="00D95AB4" w:rsidRPr="00800890">
        <w:t>evelop</w:t>
      </w:r>
      <w:r w:rsidR="00F73C3A">
        <w:t>ed</w:t>
      </w:r>
      <w:r w:rsidR="00D95AB4" w:rsidRPr="00800890">
        <w:t xml:space="preserve"> this </w:t>
      </w:r>
      <w:r w:rsidR="00D9586C" w:rsidRPr="00800890">
        <w:t>g</w:t>
      </w:r>
      <w:r w:rsidR="00D95AB4" w:rsidRPr="00800890">
        <w:t>uide</w:t>
      </w:r>
      <w:bookmarkEnd w:id="7"/>
      <w:r w:rsidR="00D95AB4" w:rsidRPr="00800890">
        <w:t xml:space="preserve"> </w:t>
      </w:r>
    </w:p>
    <w:p w14:paraId="47468A49" w14:textId="56BE1DBD" w:rsidR="001F3492" w:rsidRPr="0059218B" w:rsidRDefault="003E2172" w:rsidP="00EA26AA">
      <w:pPr>
        <w:pStyle w:val="Heading3"/>
      </w:pPr>
      <w:r w:rsidRPr="0059218B">
        <w:t>D</w:t>
      </w:r>
      <w:r w:rsidR="00525A6A" w:rsidRPr="0059218B">
        <w:t xml:space="preserve">iversity and </w:t>
      </w:r>
      <w:r w:rsidR="00D9586C" w:rsidRPr="0059218B">
        <w:t>i</w:t>
      </w:r>
      <w:r w:rsidR="00525A6A" w:rsidRPr="0059218B">
        <w:t xml:space="preserve">nclusion (D&amp;I) </w:t>
      </w:r>
      <w:r w:rsidR="00D9586C" w:rsidRPr="0059218B">
        <w:t>d</w:t>
      </w:r>
      <w:r w:rsidRPr="0059218B">
        <w:t xml:space="preserve">ata </w:t>
      </w:r>
      <w:r w:rsidR="009812E8" w:rsidRPr="0059218B">
        <w:t xml:space="preserve">is </w:t>
      </w:r>
      <w:r w:rsidRPr="0059218B">
        <w:t xml:space="preserve">a </w:t>
      </w:r>
      <w:r w:rsidR="00D9586C" w:rsidRPr="0059218B">
        <w:t>p</w:t>
      </w:r>
      <w:r w:rsidRPr="0059218B">
        <w:t xml:space="preserve">owerful </w:t>
      </w:r>
      <w:r w:rsidR="00D9586C" w:rsidRPr="0059218B">
        <w:t>t</w:t>
      </w:r>
      <w:r w:rsidRPr="0059218B">
        <w:t xml:space="preserve">ool in D&amp;I </w:t>
      </w:r>
      <w:r w:rsidR="00D9586C" w:rsidRPr="0059218B">
        <w:t>w</w:t>
      </w:r>
      <w:r w:rsidRPr="0059218B">
        <w:t>ork</w:t>
      </w:r>
    </w:p>
    <w:p w14:paraId="4EC663EE" w14:textId="288105E5" w:rsidR="003E2172" w:rsidRPr="0059218B" w:rsidRDefault="003E4869" w:rsidP="003E2172">
      <w:pPr>
        <w:rPr>
          <w:b/>
          <w:bCs/>
          <w:color w:val="0F4761" w:themeColor="accent1" w:themeShade="BF"/>
        </w:rPr>
      </w:pPr>
      <w:r w:rsidRPr="0059218B">
        <w:rPr>
          <w:szCs w:val="24"/>
        </w:rPr>
        <w:t xml:space="preserve">D&amp;I </w:t>
      </w:r>
      <w:r w:rsidR="00EB392C" w:rsidRPr="0059218B">
        <w:rPr>
          <w:szCs w:val="24"/>
        </w:rPr>
        <w:t>data helps</w:t>
      </w:r>
      <w:r w:rsidR="003E2172" w:rsidRPr="0059218B">
        <w:rPr>
          <w:szCs w:val="24"/>
        </w:rPr>
        <w:t xml:space="preserve"> you </w:t>
      </w:r>
      <w:r w:rsidR="00537EFB" w:rsidRPr="0059218B">
        <w:rPr>
          <w:szCs w:val="24"/>
        </w:rPr>
        <w:t xml:space="preserve">understand your current state and set </w:t>
      </w:r>
      <w:r>
        <w:rPr>
          <w:szCs w:val="24"/>
        </w:rPr>
        <w:t>a</w:t>
      </w:r>
      <w:r w:rsidRPr="0059218B">
        <w:rPr>
          <w:szCs w:val="24"/>
        </w:rPr>
        <w:t xml:space="preserve"> </w:t>
      </w:r>
      <w:r w:rsidR="003E2172" w:rsidRPr="0059218B">
        <w:rPr>
          <w:szCs w:val="24"/>
        </w:rPr>
        <w:t xml:space="preserve">future </w:t>
      </w:r>
      <w:r w:rsidR="00537EFB" w:rsidRPr="0059218B">
        <w:rPr>
          <w:szCs w:val="24"/>
        </w:rPr>
        <w:t xml:space="preserve">state for </w:t>
      </w:r>
      <w:r w:rsidR="003E2172" w:rsidRPr="0059218B">
        <w:rPr>
          <w:szCs w:val="24"/>
        </w:rPr>
        <w:t>your</w:t>
      </w:r>
      <w:r w:rsidR="00DE5304" w:rsidRPr="0059218B">
        <w:rPr>
          <w:szCs w:val="24"/>
        </w:rPr>
        <w:t xml:space="preserve"> </w:t>
      </w:r>
      <w:r w:rsidR="003E2172" w:rsidRPr="0059218B">
        <w:rPr>
          <w:szCs w:val="24"/>
        </w:rPr>
        <w:t>D&amp;I and business strategies.</w:t>
      </w:r>
      <w:r w:rsidR="00C9106A" w:rsidRPr="0059218B">
        <w:rPr>
          <w:szCs w:val="24"/>
        </w:rPr>
        <w:t xml:space="preserve"> </w:t>
      </w:r>
      <w:r>
        <w:rPr>
          <w:szCs w:val="24"/>
        </w:rPr>
        <w:t xml:space="preserve">It </w:t>
      </w:r>
      <w:r w:rsidR="004F17AB" w:rsidRPr="0059218B">
        <w:rPr>
          <w:szCs w:val="24"/>
        </w:rPr>
        <w:t xml:space="preserve">can help your </w:t>
      </w:r>
      <w:r w:rsidR="004628FA" w:rsidRPr="0059218B">
        <w:rPr>
          <w:szCs w:val="24"/>
        </w:rPr>
        <w:t>organisation</w:t>
      </w:r>
      <w:r w:rsidR="006A29A5">
        <w:rPr>
          <w:szCs w:val="24"/>
        </w:rPr>
        <w:t xml:space="preserve"> in several ways</w:t>
      </w:r>
      <w:r w:rsidR="004628FA" w:rsidRPr="0059218B">
        <w:rPr>
          <w:szCs w:val="24"/>
        </w:rPr>
        <w:t xml:space="preserve">: </w:t>
      </w:r>
      <w:r w:rsidR="00C9106A" w:rsidRPr="0059218B">
        <w:rPr>
          <w:szCs w:val="24"/>
        </w:rPr>
        <w:t xml:space="preserve"> </w:t>
      </w:r>
    </w:p>
    <w:p w14:paraId="2BF48E42" w14:textId="20A7753E" w:rsidR="003E2172" w:rsidRPr="0059218B" w:rsidRDefault="006A29A5" w:rsidP="00D0374A">
      <w:pPr>
        <w:pStyle w:val="ListParagraph"/>
        <w:numPr>
          <w:ilvl w:val="0"/>
          <w:numId w:val="2"/>
        </w:numPr>
        <w:ind w:left="714" w:hanging="357"/>
        <w:contextualSpacing w:val="0"/>
        <w:rPr>
          <w:szCs w:val="24"/>
        </w:rPr>
      </w:pPr>
      <w:r>
        <w:rPr>
          <w:b/>
          <w:bCs/>
          <w:szCs w:val="24"/>
        </w:rPr>
        <w:t>U</w:t>
      </w:r>
      <w:r w:rsidR="003E2172" w:rsidRPr="0059218B">
        <w:rPr>
          <w:b/>
          <w:bCs/>
          <w:szCs w:val="24"/>
        </w:rPr>
        <w:t xml:space="preserve">nderstand the mix of employees in your </w:t>
      </w:r>
      <w:r w:rsidR="007C32D5" w:rsidRPr="0059218B">
        <w:rPr>
          <w:b/>
          <w:bCs/>
          <w:szCs w:val="24"/>
        </w:rPr>
        <w:t>workforce</w:t>
      </w:r>
      <w:r>
        <w:rPr>
          <w:b/>
          <w:bCs/>
          <w:szCs w:val="24"/>
        </w:rPr>
        <w:t>.</w:t>
      </w:r>
      <w:r w:rsidR="000F1898" w:rsidRPr="0059218B">
        <w:rPr>
          <w:szCs w:val="24"/>
        </w:rPr>
        <w:t xml:space="preserve"> </w:t>
      </w:r>
      <w:r>
        <w:rPr>
          <w:szCs w:val="24"/>
        </w:rPr>
        <w:t>F</w:t>
      </w:r>
      <w:r w:rsidR="002D53F1" w:rsidRPr="0059218B">
        <w:rPr>
          <w:szCs w:val="24"/>
        </w:rPr>
        <w:t xml:space="preserve">or example, if you compare your workforce diversity to Australian workforce or labour market </w:t>
      </w:r>
      <w:r w:rsidR="003E2172" w:rsidRPr="0059218B">
        <w:rPr>
          <w:szCs w:val="24"/>
        </w:rPr>
        <w:t>diversity</w:t>
      </w:r>
      <w:r w:rsidR="003E4869">
        <w:rPr>
          <w:szCs w:val="24"/>
        </w:rPr>
        <w:t>,</w:t>
      </w:r>
      <w:r w:rsidR="002D53F1" w:rsidRPr="0059218B">
        <w:rPr>
          <w:szCs w:val="24"/>
        </w:rPr>
        <w:t xml:space="preserve"> </w:t>
      </w:r>
      <w:r w:rsidR="003E2172" w:rsidRPr="0059218B">
        <w:rPr>
          <w:szCs w:val="24"/>
        </w:rPr>
        <w:t xml:space="preserve">this can </w:t>
      </w:r>
      <w:r w:rsidR="009935A0" w:rsidRPr="0059218B">
        <w:rPr>
          <w:szCs w:val="24"/>
        </w:rPr>
        <w:t xml:space="preserve">reveal which </w:t>
      </w:r>
      <w:r w:rsidR="00EC3593" w:rsidRPr="0059218B">
        <w:rPr>
          <w:szCs w:val="24"/>
        </w:rPr>
        <w:t xml:space="preserve">diversity cohorts are </w:t>
      </w:r>
      <w:r w:rsidR="003E2172" w:rsidRPr="0059218B">
        <w:rPr>
          <w:szCs w:val="24"/>
        </w:rPr>
        <w:t>under</w:t>
      </w:r>
      <w:r w:rsidR="00121C09">
        <w:rPr>
          <w:szCs w:val="24"/>
        </w:rPr>
        <w:t>-</w:t>
      </w:r>
      <w:r w:rsidR="003E2172" w:rsidRPr="0059218B">
        <w:rPr>
          <w:szCs w:val="24"/>
        </w:rPr>
        <w:t xml:space="preserve">represented and </w:t>
      </w:r>
      <w:r w:rsidR="009935A0" w:rsidRPr="0059218B">
        <w:rPr>
          <w:szCs w:val="24"/>
        </w:rPr>
        <w:t>over</w:t>
      </w:r>
      <w:r w:rsidR="00121C09">
        <w:rPr>
          <w:szCs w:val="24"/>
        </w:rPr>
        <w:t>-</w:t>
      </w:r>
      <w:r w:rsidR="00A14056" w:rsidRPr="0059218B">
        <w:rPr>
          <w:szCs w:val="24"/>
        </w:rPr>
        <w:t>represented</w:t>
      </w:r>
      <w:r w:rsidR="00536B7F">
        <w:rPr>
          <w:szCs w:val="24"/>
        </w:rPr>
        <w:t>.</w:t>
      </w:r>
    </w:p>
    <w:p w14:paraId="359DCBEB" w14:textId="761741AC" w:rsidR="003E2172" w:rsidRPr="0059218B" w:rsidRDefault="150B919F" w:rsidP="41ED6CC6">
      <w:pPr>
        <w:pStyle w:val="ListParagraph"/>
        <w:numPr>
          <w:ilvl w:val="0"/>
          <w:numId w:val="2"/>
        </w:numPr>
        <w:ind w:left="714" w:hanging="357"/>
      </w:pPr>
      <w:r w:rsidRPr="41ED6CC6">
        <w:rPr>
          <w:b/>
          <w:bCs/>
        </w:rPr>
        <w:t>Know which inclusion areas you should focus on.</w:t>
      </w:r>
      <w:r w:rsidRPr="41ED6CC6">
        <w:t xml:space="preserve"> For example, data on disability status can indicate the need for workplace adjustments, or data on caring responsibilities can indicate the need for flexible work options. </w:t>
      </w:r>
    </w:p>
    <w:p w14:paraId="296489D8" w14:textId="705076E2" w:rsidR="003E2172" w:rsidRPr="0059218B" w:rsidRDefault="150B919F" w:rsidP="41ED6CC6">
      <w:pPr>
        <w:pStyle w:val="ListParagraph"/>
        <w:numPr>
          <w:ilvl w:val="0"/>
          <w:numId w:val="2"/>
        </w:numPr>
        <w:ind w:left="714" w:hanging="357"/>
      </w:pPr>
      <w:r w:rsidRPr="41ED6CC6">
        <w:rPr>
          <w:b/>
          <w:bCs/>
        </w:rPr>
        <w:t>Understand the cultural capabilities of your workforce.</w:t>
      </w:r>
      <w:r w:rsidRPr="41ED6CC6">
        <w:t xml:space="preserve"> For example, data on the languages spoken by your employees and time spent working in other countries can show your workforce capability to access and serve the markets, clients and communities you service. </w:t>
      </w:r>
    </w:p>
    <w:p w14:paraId="041C5492" w14:textId="77777777" w:rsidR="00334FC2" w:rsidRPr="0059218B" w:rsidRDefault="00751017" w:rsidP="00751017">
      <w:pPr>
        <w:pStyle w:val="Quote"/>
        <w:rPr>
          <w:i w:val="0"/>
          <w:iCs w:val="0"/>
          <w:szCs w:val="24"/>
        </w:rPr>
      </w:pPr>
      <w:r w:rsidRPr="0059218B">
        <w:rPr>
          <w:i w:val="0"/>
          <w:iCs w:val="0"/>
          <w:szCs w:val="24"/>
        </w:rPr>
        <w:t xml:space="preserve">“We identified that 100% of certain diverse groups were essentially being shortlisted out of every recruitment process (specifically those who identified as having a disability and those who identified as being Aboriginal and/or Torres Strait Islander).” </w:t>
      </w:r>
    </w:p>
    <w:p w14:paraId="07D5A724" w14:textId="4B5EFA54" w:rsidR="00751017" w:rsidRPr="0059218B" w:rsidRDefault="00EA26AA" w:rsidP="00751017">
      <w:pPr>
        <w:pStyle w:val="Quote"/>
        <w:rPr>
          <w:i w:val="0"/>
          <w:iCs w:val="0"/>
          <w:szCs w:val="24"/>
        </w:rPr>
      </w:pPr>
      <w:r>
        <w:rPr>
          <w:i w:val="0"/>
          <w:iCs w:val="0"/>
          <w:szCs w:val="24"/>
        </w:rPr>
        <w:t xml:space="preserve">Quote from </w:t>
      </w:r>
      <w:r w:rsidR="00751017" w:rsidRPr="0059218B">
        <w:rPr>
          <w:i w:val="0"/>
          <w:iCs w:val="0"/>
          <w:szCs w:val="24"/>
        </w:rPr>
        <w:t xml:space="preserve">DCA Inclusive Recruitment at Work </w:t>
      </w:r>
      <w:r w:rsidR="00536B7F">
        <w:rPr>
          <w:i w:val="0"/>
          <w:iCs w:val="0"/>
          <w:szCs w:val="24"/>
        </w:rPr>
        <w:t>c</w:t>
      </w:r>
      <w:r w:rsidR="00751017" w:rsidRPr="0059218B">
        <w:rPr>
          <w:i w:val="0"/>
          <w:iCs w:val="0"/>
          <w:szCs w:val="24"/>
        </w:rPr>
        <w:t xml:space="preserve">onsultation </w:t>
      </w:r>
      <w:r w:rsidR="00536B7F">
        <w:rPr>
          <w:i w:val="0"/>
          <w:iCs w:val="0"/>
          <w:szCs w:val="24"/>
        </w:rPr>
        <w:t>s</w:t>
      </w:r>
      <w:r w:rsidR="00751017" w:rsidRPr="0059218B">
        <w:rPr>
          <w:i w:val="0"/>
          <w:iCs w:val="0"/>
          <w:szCs w:val="24"/>
        </w:rPr>
        <w:t xml:space="preserve">urvey </w:t>
      </w:r>
      <w:r w:rsidR="003E4869">
        <w:rPr>
          <w:i w:val="0"/>
          <w:iCs w:val="0"/>
          <w:szCs w:val="24"/>
        </w:rPr>
        <w:t>r</w:t>
      </w:r>
      <w:r w:rsidR="00751017" w:rsidRPr="0059218B">
        <w:rPr>
          <w:i w:val="0"/>
          <w:iCs w:val="0"/>
          <w:szCs w:val="24"/>
        </w:rPr>
        <w:t>espondent</w:t>
      </w:r>
    </w:p>
    <w:p w14:paraId="715490A4" w14:textId="7DF5E22D" w:rsidR="001F3492" w:rsidRPr="0059218B" w:rsidRDefault="00D15459" w:rsidP="00EA26AA">
      <w:pPr>
        <w:pStyle w:val="Heading3"/>
      </w:pPr>
      <w:r w:rsidRPr="0059218B">
        <w:t>But</w:t>
      </w:r>
      <w:r w:rsidR="007A3A61" w:rsidRPr="0059218B">
        <w:t xml:space="preserve"> </w:t>
      </w:r>
      <w:r w:rsidR="00D9586C" w:rsidRPr="0059218B">
        <w:t>m</w:t>
      </w:r>
      <w:r w:rsidR="007A3A61" w:rsidRPr="0059218B">
        <w:t xml:space="preserve">any </w:t>
      </w:r>
      <w:r w:rsidR="00D9586C" w:rsidRPr="0059218B">
        <w:t>o</w:t>
      </w:r>
      <w:r w:rsidR="007A3A61" w:rsidRPr="00EA26AA">
        <w:rPr>
          <w:rStyle w:val="Heading2Char"/>
          <w:b w:val="0"/>
          <w:bCs w:val="0"/>
          <w:lang w:val="en-AU"/>
        </w:rPr>
        <w:t>rganisations</w:t>
      </w:r>
      <w:r w:rsidR="007A3A61" w:rsidRPr="0059218B">
        <w:t xml:space="preserve"> </w:t>
      </w:r>
      <w:r w:rsidR="00D9586C" w:rsidRPr="0059218B">
        <w:t>d</w:t>
      </w:r>
      <w:r w:rsidR="000C0CF4" w:rsidRPr="0059218B">
        <w:t>o</w:t>
      </w:r>
      <w:r w:rsidR="00C309A0" w:rsidRPr="0059218B">
        <w:t xml:space="preserve">n’t </w:t>
      </w:r>
      <w:r w:rsidR="00D9586C" w:rsidRPr="0059218B">
        <w:t>c</w:t>
      </w:r>
      <w:r w:rsidR="007A3A61" w:rsidRPr="0059218B">
        <w:t>aptur</w:t>
      </w:r>
      <w:r w:rsidR="000C0CF4" w:rsidRPr="0059218B">
        <w:t xml:space="preserve">e </w:t>
      </w:r>
      <w:r w:rsidR="008F10B7" w:rsidRPr="0059218B">
        <w:t xml:space="preserve">or </w:t>
      </w:r>
      <w:r w:rsidR="00D9586C" w:rsidRPr="0059218B">
        <w:t>u</w:t>
      </w:r>
      <w:r w:rsidR="008F10B7" w:rsidRPr="0059218B">
        <w:t>s</w:t>
      </w:r>
      <w:r w:rsidR="000C0CF4" w:rsidRPr="0059218B">
        <w:t xml:space="preserve">e </w:t>
      </w:r>
      <w:r w:rsidR="00C309A0" w:rsidRPr="0059218B">
        <w:t xml:space="preserve">D&amp;I </w:t>
      </w:r>
      <w:r w:rsidR="00D9586C" w:rsidRPr="0059218B">
        <w:t>d</w:t>
      </w:r>
      <w:r w:rsidR="007A3A61" w:rsidRPr="0059218B">
        <w:t>ata</w:t>
      </w:r>
    </w:p>
    <w:p w14:paraId="243291C0" w14:textId="3971C1E9" w:rsidR="008E4ECA" w:rsidRPr="0059218B" w:rsidRDefault="00463973" w:rsidP="00286072">
      <w:pPr>
        <w:rPr>
          <w:vertAlign w:val="superscript"/>
        </w:rPr>
      </w:pPr>
      <w:r w:rsidRPr="41ED6CC6">
        <w:rPr>
          <w:b/>
          <w:bCs/>
        </w:rPr>
        <w:t>Many do not collect any data.</w:t>
      </w:r>
      <w:r w:rsidR="001A7746" w:rsidRPr="41ED6CC6">
        <w:t xml:space="preserve"> </w:t>
      </w:r>
      <w:r w:rsidR="000A5706" w:rsidRPr="41ED6CC6">
        <w:t xml:space="preserve">DCA’s </w:t>
      </w:r>
      <w:hyperlink r:id="rId13" w:history="1">
        <w:r w:rsidR="000A5706" w:rsidRPr="41ED6CC6">
          <w:rPr>
            <w:rStyle w:val="Hyperlink"/>
          </w:rPr>
          <w:t>Change at Work</w:t>
        </w:r>
      </w:hyperlink>
      <w:r w:rsidR="000A5706" w:rsidRPr="41ED6CC6">
        <w:t xml:space="preserve"> research found close to 1 in 2  D&amp;I practitioners </w:t>
      </w:r>
      <w:r w:rsidR="00536B7F" w:rsidRPr="41ED6CC6">
        <w:t xml:space="preserve">(46%) </w:t>
      </w:r>
      <w:r w:rsidR="000A5706" w:rsidRPr="41ED6CC6">
        <w:t xml:space="preserve">never, rarely or only sometimes used internal D&amp;I data to understand the need for D&amp;I change. The </w:t>
      </w:r>
      <w:r w:rsidR="00310695" w:rsidRPr="41ED6CC6">
        <w:t xml:space="preserve">Australian </w:t>
      </w:r>
      <w:r w:rsidR="005C2EC2" w:rsidRPr="41ED6CC6">
        <w:t>HR</w:t>
      </w:r>
      <w:r w:rsidR="00310695" w:rsidRPr="41ED6CC6">
        <w:t xml:space="preserve"> Institute (AHRI) </w:t>
      </w:r>
      <w:r w:rsidR="005C2EC2" w:rsidRPr="41ED6CC6">
        <w:t xml:space="preserve">surveyed human resource (HR) professionals and </w:t>
      </w:r>
      <w:r w:rsidR="00310695" w:rsidRPr="41ED6CC6">
        <w:t xml:space="preserve">found that 43% of </w:t>
      </w:r>
      <w:r w:rsidR="005C2EC2" w:rsidRPr="41ED6CC6">
        <w:t>their</w:t>
      </w:r>
      <w:r w:rsidR="00310695" w:rsidRPr="41ED6CC6">
        <w:t xml:space="preserve"> organisations were not measuring the diversity profile of their workforce.</w:t>
      </w:r>
      <w:r w:rsidR="00310695" w:rsidRPr="41ED6CC6">
        <w:rPr>
          <w:vertAlign w:val="superscript"/>
        </w:rPr>
        <w:endnoteReference w:id="2"/>
      </w:r>
      <w:r w:rsidR="00310695" w:rsidRPr="41ED6CC6">
        <w:rPr>
          <w:vertAlign w:val="superscript"/>
        </w:rPr>
        <w:t xml:space="preserve"> </w:t>
      </w:r>
    </w:p>
    <w:p w14:paraId="7EEFE631" w14:textId="602B2C68" w:rsidR="00BA4492" w:rsidRPr="0059218B" w:rsidRDefault="00463973" w:rsidP="001A7746">
      <w:pPr>
        <w:rPr>
          <w:szCs w:val="24"/>
        </w:rPr>
      </w:pPr>
      <w:r w:rsidRPr="0059218B">
        <w:rPr>
          <w:b/>
          <w:bCs/>
          <w:szCs w:val="24"/>
        </w:rPr>
        <w:t xml:space="preserve">Others collect only </w:t>
      </w:r>
      <w:r w:rsidR="001007BB" w:rsidRPr="0059218B">
        <w:rPr>
          <w:b/>
          <w:bCs/>
          <w:szCs w:val="24"/>
        </w:rPr>
        <w:t>gender</w:t>
      </w:r>
      <w:r w:rsidRPr="0059218B">
        <w:rPr>
          <w:b/>
          <w:bCs/>
          <w:szCs w:val="24"/>
        </w:rPr>
        <w:t xml:space="preserve"> data.</w:t>
      </w:r>
      <w:r w:rsidR="00E57C6D" w:rsidRPr="0059218B">
        <w:rPr>
          <w:szCs w:val="24"/>
        </w:rPr>
        <w:t xml:space="preserve"> Many </w:t>
      </w:r>
      <w:r w:rsidR="00F87DB3" w:rsidRPr="0059218B">
        <w:rPr>
          <w:szCs w:val="24"/>
        </w:rPr>
        <w:t xml:space="preserve">organisations only capture or use </w:t>
      </w:r>
      <w:r w:rsidR="00BF7FC7" w:rsidRPr="0059218B">
        <w:rPr>
          <w:szCs w:val="24"/>
        </w:rPr>
        <w:t>gender data</w:t>
      </w:r>
      <w:r w:rsidR="00BA4492" w:rsidRPr="0059218B">
        <w:rPr>
          <w:szCs w:val="24"/>
        </w:rPr>
        <w:t xml:space="preserve">. For example, AHRI </w:t>
      </w:r>
      <w:r w:rsidR="0003329C" w:rsidRPr="0059218B">
        <w:rPr>
          <w:szCs w:val="24"/>
        </w:rPr>
        <w:t>found</w:t>
      </w:r>
      <w:r w:rsidR="00CB4DB9" w:rsidRPr="0059218B">
        <w:rPr>
          <w:szCs w:val="24"/>
        </w:rPr>
        <w:t xml:space="preserve"> that while</w:t>
      </w:r>
      <w:r w:rsidR="0003329C" w:rsidRPr="0059218B">
        <w:rPr>
          <w:szCs w:val="24"/>
        </w:rPr>
        <w:t xml:space="preserve"> 97% of organisations</w:t>
      </w:r>
      <w:r w:rsidR="007C32D5" w:rsidRPr="0059218B">
        <w:rPr>
          <w:szCs w:val="24"/>
        </w:rPr>
        <w:t xml:space="preserve"> collecting diversity data</w:t>
      </w:r>
      <w:r w:rsidR="0003329C" w:rsidRPr="0059218B">
        <w:rPr>
          <w:szCs w:val="24"/>
        </w:rPr>
        <w:t xml:space="preserve"> were capturing data on gender, </w:t>
      </w:r>
      <w:r w:rsidR="00CB4DB9" w:rsidRPr="0059218B">
        <w:rPr>
          <w:szCs w:val="24"/>
        </w:rPr>
        <w:t>only</w:t>
      </w:r>
      <w:r w:rsidR="00C47BC3" w:rsidRPr="0059218B">
        <w:rPr>
          <w:szCs w:val="24"/>
        </w:rPr>
        <w:t xml:space="preserve"> </w:t>
      </w:r>
      <w:r w:rsidR="00EE1585" w:rsidRPr="0059218B">
        <w:rPr>
          <w:szCs w:val="24"/>
        </w:rPr>
        <w:t xml:space="preserve">56% </w:t>
      </w:r>
      <w:r w:rsidR="00CB4DB9" w:rsidRPr="0059218B">
        <w:rPr>
          <w:szCs w:val="24"/>
        </w:rPr>
        <w:t xml:space="preserve">were capturing </w:t>
      </w:r>
      <w:r w:rsidR="00EE1585" w:rsidRPr="0059218B">
        <w:rPr>
          <w:szCs w:val="24"/>
        </w:rPr>
        <w:t xml:space="preserve">LGBTIQ+ data and only 7% </w:t>
      </w:r>
      <w:r w:rsidR="00CB4DB9" w:rsidRPr="0059218B">
        <w:rPr>
          <w:szCs w:val="24"/>
        </w:rPr>
        <w:t xml:space="preserve">were </w:t>
      </w:r>
      <w:r w:rsidR="005C2EC2">
        <w:rPr>
          <w:szCs w:val="24"/>
        </w:rPr>
        <w:t>considering</w:t>
      </w:r>
      <w:r w:rsidR="005C2EC2" w:rsidRPr="0059218B">
        <w:rPr>
          <w:szCs w:val="24"/>
        </w:rPr>
        <w:t xml:space="preserve"> </w:t>
      </w:r>
      <w:r w:rsidR="00EE1585" w:rsidRPr="0059218B">
        <w:rPr>
          <w:szCs w:val="24"/>
        </w:rPr>
        <w:t>soci</w:t>
      </w:r>
      <w:r w:rsidR="00CB4DB9" w:rsidRPr="0059218B">
        <w:rPr>
          <w:szCs w:val="24"/>
        </w:rPr>
        <w:t>o</w:t>
      </w:r>
      <w:r w:rsidR="00EE1585" w:rsidRPr="0059218B">
        <w:rPr>
          <w:szCs w:val="24"/>
        </w:rPr>
        <w:t>-economic background.</w:t>
      </w:r>
      <w:r w:rsidR="00EE1585" w:rsidRPr="0059218B">
        <w:rPr>
          <w:rStyle w:val="EndnoteReference"/>
          <w:szCs w:val="24"/>
        </w:rPr>
        <w:t xml:space="preserve"> </w:t>
      </w:r>
      <w:r w:rsidR="00EE1585" w:rsidRPr="0059218B">
        <w:rPr>
          <w:rStyle w:val="EndnoteReference"/>
          <w:szCs w:val="24"/>
        </w:rPr>
        <w:endnoteReference w:id="3"/>
      </w:r>
      <w:r w:rsidR="00EE1585" w:rsidRPr="0059218B">
        <w:rPr>
          <w:szCs w:val="24"/>
        </w:rPr>
        <w:t xml:space="preserve">  </w:t>
      </w:r>
    </w:p>
    <w:p w14:paraId="32E1529C" w14:textId="22A055AB" w:rsidR="006717B2" w:rsidRPr="0059218B" w:rsidRDefault="006C4143" w:rsidP="00467900">
      <w:r w:rsidRPr="41ED6CC6">
        <w:rPr>
          <w:b/>
          <w:bCs/>
        </w:rPr>
        <w:t>Leadership pushback and l</w:t>
      </w:r>
      <w:r w:rsidR="00354580" w:rsidRPr="41ED6CC6">
        <w:rPr>
          <w:b/>
          <w:bCs/>
        </w:rPr>
        <w:t xml:space="preserve">ack of training </w:t>
      </w:r>
      <w:r w:rsidRPr="41ED6CC6">
        <w:rPr>
          <w:b/>
          <w:bCs/>
        </w:rPr>
        <w:t>contribute</w:t>
      </w:r>
      <w:r w:rsidR="002B216B" w:rsidRPr="41ED6CC6">
        <w:rPr>
          <w:b/>
          <w:bCs/>
        </w:rPr>
        <w:t xml:space="preserve"> to this</w:t>
      </w:r>
      <w:r w:rsidR="00E128CC" w:rsidRPr="41ED6CC6">
        <w:rPr>
          <w:b/>
          <w:bCs/>
        </w:rPr>
        <w:t>.</w:t>
      </w:r>
      <w:r w:rsidR="00096976" w:rsidRPr="41ED6CC6">
        <w:t xml:space="preserve"> </w:t>
      </w:r>
      <w:r w:rsidR="001007BB" w:rsidRPr="41ED6CC6">
        <w:t>S</w:t>
      </w:r>
      <w:r w:rsidR="007E39E5" w:rsidRPr="41ED6CC6">
        <w:t xml:space="preserve">enior leaders </w:t>
      </w:r>
      <w:r w:rsidR="001007BB" w:rsidRPr="41ED6CC6">
        <w:t xml:space="preserve">may </w:t>
      </w:r>
      <w:r w:rsidR="006A5CF4" w:rsidRPr="41ED6CC6">
        <w:t xml:space="preserve">resist </w:t>
      </w:r>
      <w:r w:rsidR="007E39E5" w:rsidRPr="41ED6CC6">
        <w:t xml:space="preserve">capturing D&amp;I data to </w:t>
      </w:r>
      <w:r w:rsidR="00E128CC" w:rsidRPr="41ED6CC6">
        <w:t xml:space="preserve">minimise </w:t>
      </w:r>
      <w:r w:rsidR="007E39E5" w:rsidRPr="41ED6CC6">
        <w:t>perceived risk</w:t>
      </w:r>
      <w:r w:rsidR="00E128CC" w:rsidRPr="41ED6CC6">
        <w:t>s</w:t>
      </w:r>
      <w:r w:rsidR="007E39E5" w:rsidRPr="41ED6CC6">
        <w:t>.</w:t>
      </w:r>
      <w:r w:rsidR="00E128CC" w:rsidRPr="41ED6CC6">
        <w:rPr>
          <w:rStyle w:val="EndnoteReference"/>
        </w:rPr>
        <w:endnoteReference w:id="4"/>
      </w:r>
      <w:r w:rsidR="007E39E5" w:rsidRPr="41ED6CC6">
        <w:t xml:space="preserve"> </w:t>
      </w:r>
      <w:r w:rsidR="006A5CF4" w:rsidRPr="41ED6CC6">
        <w:t>M</w:t>
      </w:r>
      <w:r w:rsidR="003D67F7" w:rsidRPr="41ED6CC6">
        <w:t xml:space="preserve">any D&amp;I and HR practitioners </w:t>
      </w:r>
      <w:r w:rsidR="00EF5ADB" w:rsidRPr="41ED6CC6">
        <w:t xml:space="preserve">have </w:t>
      </w:r>
      <w:r w:rsidR="006A5CF4" w:rsidRPr="41ED6CC6">
        <w:t xml:space="preserve">also </w:t>
      </w:r>
      <w:r w:rsidR="00EF5ADB" w:rsidRPr="41ED6CC6">
        <w:t>not received training in how to collect, analyse, report</w:t>
      </w:r>
      <w:r w:rsidR="00A07086" w:rsidRPr="41ED6CC6">
        <w:t xml:space="preserve"> on</w:t>
      </w:r>
      <w:r w:rsidR="00EF5ADB" w:rsidRPr="41ED6CC6">
        <w:t xml:space="preserve"> and use D&amp;I data in decision-making.</w:t>
      </w:r>
      <w:r w:rsidR="006D688E" w:rsidRPr="41ED6CC6">
        <w:t xml:space="preserve"> </w:t>
      </w:r>
      <w:r w:rsidR="00536B7F" w:rsidRPr="41ED6CC6">
        <w:t>This l</w:t>
      </w:r>
      <w:r w:rsidR="006D688E" w:rsidRPr="41ED6CC6">
        <w:t xml:space="preserve">ack of training and confidence in D&amp;I data collection can make it </w:t>
      </w:r>
      <w:r w:rsidR="00E03FAE" w:rsidRPr="41ED6CC6">
        <w:t xml:space="preserve">a </w:t>
      </w:r>
      <w:r w:rsidR="005C2EC2" w:rsidRPr="41ED6CC6">
        <w:t>“</w:t>
      </w:r>
      <w:r w:rsidR="00E03FAE" w:rsidRPr="41ED6CC6">
        <w:t xml:space="preserve">harder </w:t>
      </w:r>
      <w:r w:rsidR="006D688E" w:rsidRPr="41ED6CC6">
        <w:t>sell</w:t>
      </w:r>
      <w:r w:rsidR="005C2EC2" w:rsidRPr="41ED6CC6">
        <w:t>”</w:t>
      </w:r>
      <w:r w:rsidR="006A5CF4" w:rsidRPr="41ED6CC6">
        <w:t xml:space="preserve"> </w:t>
      </w:r>
      <w:r w:rsidR="006D688E" w:rsidRPr="41ED6CC6">
        <w:t xml:space="preserve">to senior leadership. </w:t>
      </w:r>
    </w:p>
    <w:p w14:paraId="02EA0C21" w14:textId="77777777" w:rsidR="00923D66" w:rsidRPr="0059218B" w:rsidRDefault="00923D66" w:rsidP="00923D66">
      <w:pPr>
        <w:pStyle w:val="Quote"/>
        <w:rPr>
          <w:i w:val="0"/>
          <w:iCs w:val="0"/>
          <w:szCs w:val="24"/>
        </w:rPr>
      </w:pPr>
      <w:r w:rsidRPr="0059218B">
        <w:rPr>
          <w:i w:val="0"/>
          <w:iCs w:val="0"/>
          <w:szCs w:val="24"/>
        </w:rPr>
        <w:t xml:space="preserve">“Companies today acquire data about virtually everything else, so their failure to track diversity statistics sends a message of indifference—or, worse, may be taken as evidence that the company has allowed bias to flourish.” </w:t>
      </w:r>
      <w:r w:rsidRPr="0059218B">
        <w:rPr>
          <w:rStyle w:val="EndnoteReference"/>
          <w:i w:val="0"/>
          <w:iCs w:val="0"/>
          <w:szCs w:val="24"/>
        </w:rPr>
        <w:endnoteReference w:id="5"/>
      </w:r>
    </w:p>
    <w:p w14:paraId="2044E699" w14:textId="34C88D9F" w:rsidR="00052562" w:rsidRPr="0059218B" w:rsidRDefault="00052562" w:rsidP="00EA26AA">
      <w:pPr>
        <w:pStyle w:val="Heading3"/>
      </w:pPr>
      <w:r w:rsidRPr="0059218B">
        <w:t xml:space="preserve">We’re </w:t>
      </w:r>
      <w:r w:rsidR="00D9586C" w:rsidRPr="0059218B">
        <w:t>h</w:t>
      </w:r>
      <w:r w:rsidRPr="0059218B">
        <w:t xml:space="preserve">ere to </w:t>
      </w:r>
      <w:r w:rsidR="00D9586C" w:rsidRPr="0059218B">
        <w:t>h</w:t>
      </w:r>
      <w:r w:rsidRPr="0059218B">
        <w:t>elp</w:t>
      </w:r>
    </w:p>
    <w:p w14:paraId="078A3E74" w14:textId="77777777" w:rsidR="00DB4168" w:rsidRPr="0059218B" w:rsidRDefault="00C6239A" w:rsidP="00DB4168">
      <w:pPr>
        <w:rPr>
          <w:szCs w:val="24"/>
        </w:rPr>
      </w:pPr>
      <w:r w:rsidRPr="0059218B">
        <w:rPr>
          <w:szCs w:val="24"/>
        </w:rPr>
        <w:t>This guide will help – whether you are collecting D&amp;I data from scratch or updating your existing approach. It includes</w:t>
      </w:r>
      <w:r w:rsidR="00DB4168" w:rsidRPr="0059218B">
        <w:rPr>
          <w:szCs w:val="24"/>
        </w:rPr>
        <w:t>:</w:t>
      </w:r>
    </w:p>
    <w:p w14:paraId="5D69CED2" w14:textId="55EC4F91" w:rsidR="00DB4168" w:rsidRPr="0059218B" w:rsidRDefault="00DB4168" w:rsidP="00337E92">
      <w:pPr>
        <w:pStyle w:val="ListParagraph"/>
        <w:numPr>
          <w:ilvl w:val="0"/>
          <w:numId w:val="34"/>
        </w:numPr>
        <w:rPr>
          <w:szCs w:val="24"/>
        </w:rPr>
      </w:pPr>
      <w:r w:rsidRPr="0059218B">
        <w:rPr>
          <w:szCs w:val="24"/>
        </w:rPr>
        <w:t xml:space="preserve">a </w:t>
      </w:r>
      <w:r w:rsidR="00C6239A" w:rsidRPr="0059218B">
        <w:rPr>
          <w:szCs w:val="24"/>
        </w:rPr>
        <w:t>4-</w:t>
      </w:r>
      <w:r w:rsidR="005C2EC2">
        <w:rPr>
          <w:szCs w:val="24"/>
        </w:rPr>
        <w:t>s</w:t>
      </w:r>
      <w:r w:rsidR="00C6239A" w:rsidRPr="0059218B">
        <w:rPr>
          <w:szCs w:val="24"/>
        </w:rPr>
        <w:t xml:space="preserve">tep </w:t>
      </w:r>
      <w:r w:rsidR="005C2EC2">
        <w:rPr>
          <w:szCs w:val="24"/>
        </w:rPr>
        <w:t>p</w:t>
      </w:r>
      <w:r w:rsidR="00C6239A" w:rsidRPr="0059218B">
        <w:rPr>
          <w:szCs w:val="24"/>
        </w:rPr>
        <w:t>rocess</w:t>
      </w:r>
      <w:r w:rsidRPr="0059218B">
        <w:rPr>
          <w:szCs w:val="24"/>
        </w:rPr>
        <w:t xml:space="preserve"> </w:t>
      </w:r>
      <w:r w:rsidR="00C6239A" w:rsidRPr="0059218B">
        <w:rPr>
          <w:szCs w:val="24"/>
        </w:rPr>
        <w:t xml:space="preserve">to </w:t>
      </w:r>
      <w:r w:rsidRPr="0059218B">
        <w:rPr>
          <w:szCs w:val="24"/>
        </w:rPr>
        <w:t xml:space="preserve">help you </w:t>
      </w:r>
      <w:r w:rsidR="00C6239A" w:rsidRPr="0059218B">
        <w:rPr>
          <w:szCs w:val="24"/>
        </w:rPr>
        <w:t>make the most of D&amp;I data to drive meaningful change</w:t>
      </w:r>
    </w:p>
    <w:p w14:paraId="2E027561" w14:textId="22B83F4E" w:rsidR="00DB4168" w:rsidRPr="006F2989" w:rsidRDefault="150B919F" w:rsidP="00DB4168">
      <w:pPr>
        <w:pStyle w:val="ListParagraph"/>
        <w:numPr>
          <w:ilvl w:val="0"/>
          <w:numId w:val="34"/>
        </w:numPr>
      </w:pPr>
      <w:r w:rsidRPr="41ED6CC6">
        <w:t xml:space="preserve">guiding principles to ensure your D&amp;I data approach is respectful, safe, accurate and effective. </w:t>
      </w:r>
    </w:p>
    <w:p w14:paraId="61E4E777" w14:textId="77777777" w:rsidR="006F2989" w:rsidRPr="0059218B" w:rsidRDefault="006F2989" w:rsidP="006F2989">
      <w:pPr>
        <w:pStyle w:val="Heading3"/>
      </w:pPr>
      <w:r w:rsidRPr="0059218B">
        <w:t xml:space="preserve">What is D&amp;I data? </w:t>
      </w:r>
    </w:p>
    <w:p w14:paraId="2590BDE3" w14:textId="77777777" w:rsidR="006F2989" w:rsidRPr="0059218B" w:rsidRDefault="006F2989" w:rsidP="006F2989">
      <w:pPr>
        <w:spacing w:before="120" w:after="120"/>
        <w:rPr>
          <w:szCs w:val="24"/>
        </w:rPr>
      </w:pPr>
      <w:r>
        <w:rPr>
          <w:szCs w:val="24"/>
        </w:rPr>
        <w:t>You can use</w:t>
      </w:r>
      <w:r w:rsidRPr="0059218B">
        <w:rPr>
          <w:szCs w:val="24"/>
        </w:rPr>
        <w:t xml:space="preserve"> 2 main types of diversity and inclusion (D&amp;I) data to guide your D&amp;I work</w:t>
      </w:r>
      <w:r>
        <w:rPr>
          <w:szCs w:val="24"/>
        </w:rPr>
        <w:t>:</w:t>
      </w:r>
      <w:r w:rsidRPr="0059218B">
        <w:rPr>
          <w:szCs w:val="24"/>
        </w:rPr>
        <w:t xml:space="preserve"> </w:t>
      </w:r>
    </w:p>
    <w:p w14:paraId="3CD17865" w14:textId="77777777" w:rsidR="006F2989" w:rsidRPr="0059218B" w:rsidRDefault="006F2989" w:rsidP="006F2989">
      <w:pPr>
        <w:pStyle w:val="ListParagraph"/>
        <w:numPr>
          <w:ilvl w:val="0"/>
          <w:numId w:val="1"/>
        </w:numPr>
        <w:spacing w:before="120" w:after="120"/>
        <w:ind w:left="321"/>
        <w:contextualSpacing w:val="0"/>
        <w:rPr>
          <w:szCs w:val="24"/>
        </w:rPr>
      </w:pPr>
      <w:r w:rsidRPr="0059218B">
        <w:rPr>
          <w:b/>
          <w:bCs/>
          <w:szCs w:val="24"/>
        </w:rPr>
        <w:t>Diversity data</w:t>
      </w:r>
      <w:r w:rsidRPr="0059218B">
        <w:rPr>
          <w:szCs w:val="24"/>
        </w:rPr>
        <w:t xml:space="preserve"> </w:t>
      </w:r>
      <w:r>
        <w:rPr>
          <w:szCs w:val="24"/>
        </w:rPr>
        <w:t>shows</w:t>
      </w:r>
      <w:r w:rsidRPr="0059218B">
        <w:rPr>
          <w:szCs w:val="24"/>
        </w:rPr>
        <w:t xml:space="preserve"> the demographic mix of your employees</w:t>
      </w:r>
      <w:r>
        <w:rPr>
          <w:szCs w:val="24"/>
        </w:rPr>
        <w:t>.</w:t>
      </w:r>
      <w:r w:rsidRPr="0059218B">
        <w:rPr>
          <w:szCs w:val="24"/>
        </w:rPr>
        <w:t xml:space="preserve"> </w:t>
      </w:r>
    </w:p>
    <w:p w14:paraId="4B0486BE" w14:textId="77777777" w:rsidR="006F2989" w:rsidRPr="0059218B" w:rsidRDefault="006F2989" w:rsidP="006F2989">
      <w:pPr>
        <w:pStyle w:val="ListParagraph"/>
        <w:spacing w:before="120" w:after="120"/>
        <w:ind w:left="321"/>
      </w:pPr>
      <w:r w:rsidRPr="41ED6CC6">
        <w:t xml:space="preserve">This might be data on employees' Aboriginal and/or Torres Strait Islander background, age, carer status, culture/ethnicity and race, disability status, gender, sexual orientation, intersex status and social class. Diversity data can be coupled with other HR data to explore D&amp;I focus areas (such as the gender pay gap). </w:t>
      </w:r>
    </w:p>
    <w:p w14:paraId="07B20EE1" w14:textId="77777777" w:rsidR="006F2989" w:rsidRPr="0059218B" w:rsidRDefault="006F2989" w:rsidP="006F2989">
      <w:pPr>
        <w:pStyle w:val="ListParagraph"/>
        <w:numPr>
          <w:ilvl w:val="0"/>
          <w:numId w:val="1"/>
        </w:numPr>
        <w:spacing w:before="120" w:after="120"/>
        <w:ind w:left="321"/>
        <w:contextualSpacing w:val="0"/>
        <w:rPr>
          <w:szCs w:val="24"/>
        </w:rPr>
      </w:pPr>
      <w:r w:rsidRPr="0059218B">
        <w:rPr>
          <w:b/>
          <w:bCs/>
          <w:szCs w:val="24"/>
        </w:rPr>
        <w:t>Inclusion data</w:t>
      </w:r>
      <w:r w:rsidRPr="0059218B">
        <w:rPr>
          <w:szCs w:val="24"/>
        </w:rPr>
        <w:t xml:space="preserve"> </w:t>
      </w:r>
      <w:r>
        <w:rPr>
          <w:szCs w:val="24"/>
        </w:rPr>
        <w:t>shows</w:t>
      </w:r>
      <w:r w:rsidRPr="0059218B">
        <w:rPr>
          <w:szCs w:val="24"/>
        </w:rPr>
        <w:t xml:space="preserve"> the inclusion and exclusion experiences of your employees</w:t>
      </w:r>
      <w:r>
        <w:rPr>
          <w:szCs w:val="24"/>
        </w:rPr>
        <w:t>.</w:t>
      </w:r>
      <w:r w:rsidRPr="0059218B">
        <w:rPr>
          <w:szCs w:val="24"/>
        </w:rPr>
        <w:t xml:space="preserve"> </w:t>
      </w:r>
    </w:p>
    <w:p w14:paraId="54F177C6" w14:textId="77777777" w:rsidR="006F2989" w:rsidRPr="0059218B" w:rsidRDefault="006F2989" w:rsidP="006F2989">
      <w:pPr>
        <w:pStyle w:val="ListParagraph"/>
        <w:spacing w:before="120" w:after="120"/>
        <w:ind w:left="321"/>
        <w:contextualSpacing w:val="0"/>
        <w:rPr>
          <w:szCs w:val="24"/>
        </w:rPr>
      </w:pPr>
      <w:r w:rsidRPr="0059218B">
        <w:rPr>
          <w:szCs w:val="24"/>
        </w:rPr>
        <w:t xml:space="preserve">For example, survey data </w:t>
      </w:r>
      <w:r>
        <w:rPr>
          <w:szCs w:val="24"/>
        </w:rPr>
        <w:t xml:space="preserve">can </w:t>
      </w:r>
      <w:r w:rsidRPr="0059218B">
        <w:rPr>
          <w:szCs w:val="24"/>
        </w:rPr>
        <w:t>show experiences of inclusion in team</w:t>
      </w:r>
      <w:r>
        <w:rPr>
          <w:szCs w:val="24"/>
        </w:rPr>
        <w:t>s</w:t>
      </w:r>
      <w:r w:rsidRPr="0059218B">
        <w:rPr>
          <w:szCs w:val="24"/>
        </w:rPr>
        <w:t xml:space="preserve"> and with manager</w:t>
      </w:r>
      <w:r>
        <w:rPr>
          <w:szCs w:val="24"/>
        </w:rPr>
        <w:t>s</w:t>
      </w:r>
      <w:r w:rsidRPr="0059218B">
        <w:rPr>
          <w:szCs w:val="24"/>
        </w:rPr>
        <w:t>, experience</w:t>
      </w:r>
      <w:r>
        <w:rPr>
          <w:szCs w:val="24"/>
        </w:rPr>
        <w:t>s</w:t>
      </w:r>
      <w:r w:rsidRPr="0059218B">
        <w:rPr>
          <w:szCs w:val="24"/>
        </w:rPr>
        <w:t xml:space="preserve"> of discrimination</w:t>
      </w:r>
      <w:r>
        <w:rPr>
          <w:szCs w:val="24"/>
        </w:rPr>
        <w:t xml:space="preserve"> and</w:t>
      </w:r>
      <w:r w:rsidRPr="0059218B">
        <w:rPr>
          <w:szCs w:val="24"/>
        </w:rPr>
        <w:t xml:space="preserve"> employee support for D&amp;I work. </w:t>
      </w:r>
    </w:p>
    <w:p w14:paraId="7C3B8DC8" w14:textId="700615D2" w:rsidR="0039006A" w:rsidRPr="0059218B" w:rsidRDefault="0039006A">
      <w:pPr>
        <w:rPr>
          <w:rFonts w:asciiTheme="majorHAnsi" w:eastAsiaTheme="majorEastAsia" w:hAnsiTheme="majorHAnsi" w:cstheme="majorBidi"/>
          <w:b/>
          <w:bCs/>
          <w:color w:val="0F4761" w:themeColor="accent1" w:themeShade="BF"/>
          <w:sz w:val="28"/>
          <w:szCs w:val="28"/>
        </w:rPr>
      </w:pPr>
    </w:p>
    <w:p w14:paraId="061097F7" w14:textId="359DA7CF" w:rsidR="00C6239A" w:rsidRPr="0059218B" w:rsidRDefault="00C6239A">
      <w:pPr>
        <w:rPr>
          <w:rFonts w:asciiTheme="majorHAnsi" w:eastAsiaTheme="majorEastAsia" w:hAnsiTheme="majorHAnsi" w:cstheme="majorBidi"/>
          <w:b/>
          <w:bCs/>
          <w:color w:val="0F4761" w:themeColor="accent1" w:themeShade="BF"/>
          <w:sz w:val="28"/>
          <w:szCs w:val="28"/>
        </w:rPr>
      </w:pPr>
    </w:p>
    <w:p w14:paraId="1504513E" w14:textId="77777777" w:rsidR="0039006A" w:rsidRPr="0059218B" w:rsidRDefault="0039006A">
      <w:pPr>
        <w:rPr>
          <w:rFonts w:asciiTheme="majorHAnsi" w:eastAsiaTheme="majorEastAsia" w:hAnsiTheme="majorHAnsi" w:cstheme="majorBidi"/>
          <w:b/>
          <w:bCs/>
          <w:color w:val="0F4761" w:themeColor="accent1" w:themeShade="BF"/>
          <w:sz w:val="32"/>
          <w:szCs w:val="32"/>
        </w:rPr>
      </w:pPr>
      <w:r w:rsidRPr="0059218B">
        <w:br w:type="page"/>
      </w:r>
    </w:p>
    <w:p w14:paraId="58EE1485" w14:textId="446E3D83" w:rsidR="00CA0525" w:rsidRPr="0059218B" w:rsidRDefault="00596C1F" w:rsidP="006F2989">
      <w:pPr>
        <w:pStyle w:val="Heading2"/>
      </w:pPr>
      <w:bookmarkStart w:id="8" w:name="_Toc193468419"/>
      <w:r w:rsidRPr="0059218B">
        <w:t xml:space="preserve">DCA’s 4 </w:t>
      </w:r>
      <w:r w:rsidR="00D9586C" w:rsidRPr="0059218B">
        <w:t>s</w:t>
      </w:r>
      <w:r w:rsidR="00373DE2" w:rsidRPr="0059218B">
        <w:t>teps</w:t>
      </w:r>
      <w:r w:rsidR="00FC0DF6" w:rsidRPr="0059218B">
        <w:t xml:space="preserve"> for</w:t>
      </w:r>
      <w:r w:rsidRPr="0059218B">
        <w:t xml:space="preserve"> D&amp;I </w:t>
      </w:r>
      <w:r w:rsidR="00D9586C" w:rsidRPr="0059218B">
        <w:t>d</w:t>
      </w:r>
      <w:r w:rsidR="00FC0DF6" w:rsidRPr="0059218B">
        <w:t xml:space="preserve">ata at </w:t>
      </w:r>
      <w:r w:rsidR="00D9586C" w:rsidRPr="0059218B">
        <w:t>w</w:t>
      </w:r>
      <w:r w:rsidR="00FC0DF6" w:rsidRPr="0059218B">
        <w:t>ork</w:t>
      </w:r>
      <w:bookmarkEnd w:id="8"/>
      <w:r w:rsidR="00E06D61" w:rsidRPr="0059218B">
        <w:t xml:space="preserve"> </w:t>
      </w:r>
    </w:p>
    <w:p w14:paraId="660C4784" w14:textId="77777777" w:rsidR="00CF3AEF" w:rsidRPr="0059218B" w:rsidRDefault="005319D7" w:rsidP="00337E92">
      <w:pPr>
        <w:pStyle w:val="ListParagraph"/>
        <w:numPr>
          <w:ilvl w:val="0"/>
          <w:numId w:val="28"/>
        </w:numPr>
        <w:ind w:left="714" w:hanging="357"/>
        <w:contextualSpacing w:val="0"/>
        <w:rPr>
          <w:szCs w:val="24"/>
        </w:rPr>
      </w:pPr>
      <w:r w:rsidRPr="0059218B">
        <w:rPr>
          <w:b/>
          <w:bCs/>
          <w:szCs w:val="24"/>
        </w:rPr>
        <w:t>P</w:t>
      </w:r>
      <w:r w:rsidR="00CF3AEF" w:rsidRPr="0059218B">
        <w:rPr>
          <w:b/>
          <w:bCs/>
          <w:szCs w:val="24"/>
        </w:rPr>
        <w:t xml:space="preserve">REPARE </w:t>
      </w:r>
    </w:p>
    <w:p w14:paraId="2ED76794" w14:textId="597F7E88" w:rsidR="00CF3AEF" w:rsidRPr="0059218B" w:rsidRDefault="00D74116" w:rsidP="00006040">
      <w:pPr>
        <w:pStyle w:val="ListParagraph"/>
        <w:numPr>
          <w:ilvl w:val="0"/>
          <w:numId w:val="31"/>
        </w:numPr>
        <w:spacing w:after="80"/>
        <w:ind w:left="1429" w:hanging="357"/>
        <w:contextualSpacing w:val="0"/>
        <w:rPr>
          <w:szCs w:val="24"/>
        </w:rPr>
      </w:pPr>
      <w:r>
        <w:rPr>
          <w:szCs w:val="24"/>
        </w:rPr>
        <w:t>A</w:t>
      </w:r>
      <w:r w:rsidR="00430847" w:rsidRPr="0059218B">
        <w:rPr>
          <w:szCs w:val="24"/>
        </w:rPr>
        <w:t>ssess</w:t>
      </w:r>
      <w:r w:rsidR="00E00380" w:rsidRPr="0059218B">
        <w:rPr>
          <w:szCs w:val="24"/>
        </w:rPr>
        <w:t xml:space="preserve"> </w:t>
      </w:r>
      <w:r w:rsidR="002E1A37" w:rsidRPr="0059218B">
        <w:rPr>
          <w:szCs w:val="24"/>
        </w:rPr>
        <w:t xml:space="preserve">your </w:t>
      </w:r>
      <w:r w:rsidR="00E00380" w:rsidRPr="0059218B">
        <w:rPr>
          <w:szCs w:val="24"/>
        </w:rPr>
        <w:t>organisation</w:t>
      </w:r>
      <w:r w:rsidR="002E1A37" w:rsidRPr="0059218B">
        <w:rPr>
          <w:szCs w:val="24"/>
        </w:rPr>
        <w:t>’s</w:t>
      </w:r>
      <w:r w:rsidR="00E00380" w:rsidRPr="0059218B">
        <w:rPr>
          <w:szCs w:val="24"/>
        </w:rPr>
        <w:t xml:space="preserve"> readiness to collect D&amp;I data</w:t>
      </w:r>
      <w:r>
        <w:rPr>
          <w:szCs w:val="24"/>
        </w:rPr>
        <w:t>.</w:t>
      </w:r>
      <w:r w:rsidR="00E00380" w:rsidRPr="0059218B">
        <w:rPr>
          <w:szCs w:val="24"/>
        </w:rPr>
        <w:t xml:space="preserve"> </w:t>
      </w:r>
    </w:p>
    <w:p w14:paraId="0E3137AA" w14:textId="03DF4553" w:rsidR="00CF3AEF" w:rsidRPr="0059218B" w:rsidRDefault="00D74116" w:rsidP="00006040">
      <w:pPr>
        <w:pStyle w:val="ListParagraph"/>
        <w:numPr>
          <w:ilvl w:val="0"/>
          <w:numId w:val="31"/>
        </w:numPr>
        <w:spacing w:after="80"/>
        <w:ind w:left="1429" w:hanging="357"/>
        <w:contextualSpacing w:val="0"/>
        <w:rPr>
          <w:szCs w:val="24"/>
        </w:rPr>
      </w:pPr>
      <w:r>
        <w:rPr>
          <w:szCs w:val="24"/>
        </w:rPr>
        <w:t>D</w:t>
      </w:r>
      <w:r w:rsidR="00CF3AEF" w:rsidRPr="0059218B">
        <w:rPr>
          <w:szCs w:val="24"/>
        </w:rPr>
        <w:t xml:space="preserve">ecide </w:t>
      </w:r>
      <w:r w:rsidR="00E77612" w:rsidRPr="0059218B">
        <w:rPr>
          <w:szCs w:val="24"/>
        </w:rPr>
        <w:t>why, when, where</w:t>
      </w:r>
      <w:r w:rsidR="004D1324" w:rsidRPr="0059218B">
        <w:rPr>
          <w:szCs w:val="24"/>
        </w:rPr>
        <w:t xml:space="preserve"> and how </w:t>
      </w:r>
      <w:r w:rsidR="00FD6CF1" w:rsidRPr="0059218B">
        <w:rPr>
          <w:szCs w:val="24"/>
        </w:rPr>
        <w:t>you</w:t>
      </w:r>
      <w:r w:rsidR="004D1324" w:rsidRPr="0059218B">
        <w:rPr>
          <w:szCs w:val="24"/>
        </w:rPr>
        <w:t xml:space="preserve"> will</w:t>
      </w:r>
      <w:r w:rsidR="00FD6CF1" w:rsidRPr="0059218B">
        <w:rPr>
          <w:szCs w:val="24"/>
        </w:rPr>
        <w:t xml:space="preserve"> </w:t>
      </w:r>
      <w:r w:rsidR="004D1324" w:rsidRPr="0059218B">
        <w:rPr>
          <w:szCs w:val="24"/>
        </w:rPr>
        <w:t>collect</w:t>
      </w:r>
      <w:r w:rsidR="00871FC6" w:rsidRPr="0059218B">
        <w:rPr>
          <w:szCs w:val="24"/>
        </w:rPr>
        <w:t xml:space="preserve"> </w:t>
      </w:r>
      <w:r w:rsidR="00CF3AEF" w:rsidRPr="0059218B">
        <w:rPr>
          <w:szCs w:val="24"/>
        </w:rPr>
        <w:t>D&amp;I data</w:t>
      </w:r>
      <w:r>
        <w:rPr>
          <w:szCs w:val="24"/>
        </w:rPr>
        <w:t>.</w:t>
      </w:r>
    </w:p>
    <w:p w14:paraId="143D6041" w14:textId="4C1F5B32" w:rsidR="000B4533" w:rsidRPr="0059218B" w:rsidRDefault="005C3CB1" w:rsidP="00006040">
      <w:pPr>
        <w:pStyle w:val="ListParagraph"/>
        <w:numPr>
          <w:ilvl w:val="0"/>
          <w:numId w:val="31"/>
        </w:numPr>
        <w:spacing w:after="80"/>
        <w:ind w:left="1429" w:hanging="357"/>
        <w:contextualSpacing w:val="0"/>
        <w:rPr>
          <w:szCs w:val="24"/>
        </w:rPr>
      </w:pPr>
      <w:r>
        <w:rPr>
          <w:szCs w:val="24"/>
        </w:rPr>
        <w:t>Be</w:t>
      </w:r>
      <w:r w:rsidR="000B4533" w:rsidRPr="0059218B">
        <w:rPr>
          <w:szCs w:val="24"/>
        </w:rPr>
        <w:t xml:space="preserve"> proactive </w:t>
      </w:r>
      <w:r>
        <w:rPr>
          <w:szCs w:val="24"/>
        </w:rPr>
        <w:t>about protecting D&amp;I data</w:t>
      </w:r>
      <w:r w:rsidR="00D74116">
        <w:rPr>
          <w:szCs w:val="24"/>
        </w:rPr>
        <w:t>.</w:t>
      </w:r>
    </w:p>
    <w:p w14:paraId="774EC61C" w14:textId="1A466F34" w:rsidR="000B4533" w:rsidRPr="0059218B" w:rsidRDefault="00D74116" w:rsidP="00006040">
      <w:pPr>
        <w:pStyle w:val="ListParagraph"/>
        <w:numPr>
          <w:ilvl w:val="0"/>
          <w:numId w:val="31"/>
        </w:numPr>
        <w:spacing w:after="80"/>
        <w:ind w:left="1429" w:hanging="357"/>
        <w:contextualSpacing w:val="0"/>
        <w:rPr>
          <w:szCs w:val="24"/>
        </w:rPr>
      </w:pPr>
      <w:r>
        <w:rPr>
          <w:szCs w:val="24"/>
        </w:rPr>
        <w:t>C</w:t>
      </w:r>
      <w:r w:rsidR="002E1A37" w:rsidRPr="0059218B">
        <w:rPr>
          <w:szCs w:val="24"/>
        </w:rPr>
        <w:t>hoose inclusive questions</w:t>
      </w:r>
      <w:r w:rsidR="00052800" w:rsidRPr="0059218B">
        <w:rPr>
          <w:szCs w:val="24"/>
        </w:rPr>
        <w:t xml:space="preserve"> </w:t>
      </w:r>
      <w:r w:rsidR="0010060F" w:rsidRPr="0059218B">
        <w:rPr>
          <w:szCs w:val="24"/>
        </w:rPr>
        <w:t>and response options</w:t>
      </w:r>
      <w:r>
        <w:rPr>
          <w:szCs w:val="24"/>
        </w:rPr>
        <w:t>.</w:t>
      </w:r>
    </w:p>
    <w:p w14:paraId="1C4B09E0" w14:textId="77777777" w:rsidR="0010060F" w:rsidRPr="0059218B" w:rsidRDefault="005319D7" w:rsidP="00337E92">
      <w:pPr>
        <w:pStyle w:val="ListParagraph"/>
        <w:numPr>
          <w:ilvl w:val="0"/>
          <w:numId w:val="28"/>
        </w:numPr>
        <w:spacing w:before="360"/>
        <w:ind w:left="714" w:hanging="357"/>
        <w:contextualSpacing w:val="0"/>
        <w:rPr>
          <w:szCs w:val="24"/>
        </w:rPr>
      </w:pPr>
      <w:r w:rsidRPr="0059218B">
        <w:rPr>
          <w:b/>
          <w:bCs/>
          <w:szCs w:val="24"/>
        </w:rPr>
        <w:t>C</w:t>
      </w:r>
      <w:r w:rsidR="0010060F" w:rsidRPr="0059218B">
        <w:rPr>
          <w:b/>
          <w:bCs/>
          <w:szCs w:val="24"/>
        </w:rPr>
        <w:t>OLLECT</w:t>
      </w:r>
    </w:p>
    <w:p w14:paraId="2EF9C2DD" w14:textId="51AD8A52" w:rsidR="00BC6DA3" w:rsidRPr="0059218B" w:rsidRDefault="00D74116" w:rsidP="00006040">
      <w:pPr>
        <w:pStyle w:val="ListParagraph"/>
        <w:numPr>
          <w:ilvl w:val="0"/>
          <w:numId w:val="32"/>
        </w:numPr>
        <w:spacing w:after="80"/>
        <w:ind w:left="1429" w:hanging="357"/>
        <w:contextualSpacing w:val="0"/>
      </w:pPr>
      <w:r>
        <w:t>P</w:t>
      </w:r>
      <w:r w:rsidR="00BC6DA3" w:rsidRPr="0059218B">
        <w:t>lan how to communicate about D&amp;I data collection</w:t>
      </w:r>
      <w:r>
        <w:t>.</w:t>
      </w:r>
    </w:p>
    <w:p w14:paraId="3EB554D4" w14:textId="0FF992A3" w:rsidR="00BC6DA3" w:rsidRPr="0059218B" w:rsidRDefault="00D74116" w:rsidP="00006040">
      <w:pPr>
        <w:pStyle w:val="ListParagraph"/>
        <w:numPr>
          <w:ilvl w:val="0"/>
          <w:numId w:val="32"/>
        </w:numPr>
        <w:spacing w:after="80"/>
        <w:ind w:left="1429" w:hanging="357"/>
        <w:contextualSpacing w:val="0"/>
      </w:pPr>
      <w:r>
        <w:t>U</w:t>
      </w:r>
      <w:r w:rsidR="00BC6DA3" w:rsidRPr="0059218B">
        <w:t>se multiple methods to communicate</w:t>
      </w:r>
      <w:r>
        <w:t>.</w:t>
      </w:r>
      <w:r w:rsidR="00BC6DA3" w:rsidRPr="0059218B">
        <w:t xml:space="preserve"> </w:t>
      </w:r>
    </w:p>
    <w:p w14:paraId="4D8419DD" w14:textId="4CF06CF5" w:rsidR="00BC6DA3" w:rsidRPr="0059218B" w:rsidRDefault="00D74116" w:rsidP="00006040">
      <w:pPr>
        <w:pStyle w:val="ListParagraph"/>
        <w:numPr>
          <w:ilvl w:val="0"/>
          <w:numId w:val="32"/>
        </w:numPr>
        <w:spacing w:after="80"/>
        <w:ind w:left="1429" w:hanging="357"/>
        <w:contextualSpacing w:val="0"/>
      </w:pPr>
      <w:r>
        <w:t>M</w:t>
      </w:r>
      <w:r w:rsidR="00BC6DA3" w:rsidRPr="0059218B">
        <w:t>ake sure your D&amp;I data collection materials are accessible</w:t>
      </w:r>
      <w:r>
        <w:t>.</w:t>
      </w:r>
    </w:p>
    <w:p w14:paraId="235491D3" w14:textId="0E14E5BE" w:rsidR="00BC6DA3" w:rsidRPr="0059218B" w:rsidRDefault="005C3CB1" w:rsidP="00006040">
      <w:pPr>
        <w:pStyle w:val="ListParagraph"/>
        <w:numPr>
          <w:ilvl w:val="0"/>
          <w:numId w:val="32"/>
        </w:numPr>
        <w:spacing w:after="80"/>
        <w:ind w:left="1429" w:hanging="357"/>
        <w:contextualSpacing w:val="0"/>
      </w:pPr>
      <w:r>
        <w:t>B</w:t>
      </w:r>
      <w:r w:rsidR="00BC6DA3" w:rsidRPr="0059218B">
        <w:t xml:space="preserve">uild employee confidence in </w:t>
      </w:r>
      <w:r w:rsidR="00D74116">
        <w:t>d</w:t>
      </w:r>
      <w:r w:rsidR="00BC6DA3" w:rsidRPr="0059218B">
        <w:t xml:space="preserve">ata </w:t>
      </w:r>
      <w:r w:rsidR="00D74116">
        <w:t>p</w:t>
      </w:r>
      <w:r w:rsidR="00BC6DA3" w:rsidRPr="0059218B">
        <w:t>rivacy</w:t>
      </w:r>
      <w:r w:rsidR="00D74116">
        <w:t>.</w:t>
      </w:r>
    </w:p>
    <w:p w14:paraId="43015378" w14:textId="77777777" w:rsidR="00090941" w:rsidRPr="0059218B" w:rsidRDefault="00090941" w:rsidP="00337E92">
      <w:pPr>
        <w:pStyle w:val="ListParagraph"/>
        <w:numPr>
          <w:ilvl w:val="0"/>
          <w:numId w:val="28"/>
        </w:numPr>
        <w:spacing w:before="360"/>
        <w:ind w:left="714" w:hanging="357"/>
        <w:contextualSpacing w:val="0"/>
        <w:rPr>
          <w:szCs w:val="24"/>
        </w:rPr>
      </w:pPr>
      <w:r w:rsidRPr="0059218B">
        <w:rPr>
          <w:b/>
          <w:bCs/>
          <w:szCs w:val="24"/>
        </w:rPr>
        <w:t>ANALYSE</w:t>
      </w:r>
    </w:p>
    <w:p w14:paraId="45073EA5" w14:textId="74E1F323" w:rsidR="002C2EC0" w:rsidRPr="0059218B" w:rsidRDefault="00D74116" w:rsidP="00006040">
      <w:pPr>
        <w:pStyle w:val="ListParagraph"/>
        <w:numPr>
          <w:ilvl w:val="0"/>
          <w:numId w:val="32"/>
        </w:numPr>
        <w:spacing w:after="80"/>
        <w:ind w:left="1429" w:hanging="357"/>
        <w:contextualSpacing w:val="0"/>
        <w:rPr>
          <w:szCs w:val="24"/>
        </w:rPr>
      </w:pPr>
      <w:r>
        <w:rPr>
          <w:szCs w:val="24"/>
        </w:rPr>
        <w:t>C</w:t>
      </w:r>
      <w:r w:rsidR="002C2EC0" w:rsidRPr="0059218B">
        <w:rPr>
          <w:szCs w:val="24"/>
        </w:rPr>
        <w:t>alculate your response rate</w:t>
      </w:r>
      <w:r>
        <w:rPr>
          <w:szCs w:val="24"/>
        </w:rPr>
        <w:t>.</w:t>
      </w:r>
      <w:r w:rsidR="002C2EC0" w:rsidRPr="0059218B">
        <w:rPr>
          <w:szCs w:val="24"/>
        </w:rPr>
        <w:t xml:space="preserve"> </w:t>
      </w:r>
    </w:p>
    <w:p w14:paraId="09974865" w14:textId="099CB236" w:rsidR="002C2EC0" w:rsidRPr="0059218B" w:rsidRDefault="00D74116" w:rsidP="00006040">
      <w:pPr>
        <w:pStyle w:val="ListParagraph"/>
        <w:numPr>
          <w:ilvl w:val="0"/>
          <w:numId w:val="32"/>
        </w:numPr>
        <w:spacing w:after="80"/>
        <w:ind w:left="1429" w:hanging="357"/>
        <w:contextualSpacing w:val="0"/>
        <w:rPr>
          <w:szCs w:val="24"/>
        </w:rPr>
      </w:pPr>
      <w:r>
        <w:rPr>
          <w:szCs w:val="24"/>
        </w:rPr>
        <w:t>A</w:t>
      </w:r>
      <w:r w:rsidR="002C2EC0" w:rsidRPr="0059218B">
        <w:rPr>
          <w:szCs w:val="24"/>
        </w:rPr>
        <w:t xml:space="preserve">nalyse and benchmark your diversity data </w:t>
      </w:r>
      <w:r w:rsidR="002E5A46" w:rsidRPr="0059218B">
        <w:rPr>
          <w:szCs w:val="24"/>
        </w:rPr>
        <w:t>– to understand the diversity of your workforce overall and in</w:t>
      </w:r>
      <w:r w:rsidR="002C2EC0" w:rsidRPr="0059218B">
        <w:rPr>
          <w:szCs w:val="24"/>
        </w:rPr>
        <w:t xml:space="preserve"> different organisational levels and areas</w:t>
      </w:r>
      <w:r>
        <w:rPr>
          <w:szCs w:val="24"/>
        </w:rPr>
        <w:t>.</w:t>
      </w:r>
    </w:p>
    <w:p w14:paraId="7D260485" w14:textId="4315936D" w:rsidR="002C2EC0" w:rsidRPr="0059218B" w:rsidRDefault="00D74116" w:rsidP="00006040">
      <w:pPr>
        <w:pStyle w:val="ListParagraph"/>
        <w:numPr>
          <w:ilvl w:val="0"/>
          <w:numId w:val="32"/>
        </w:numPr>
        <w:spacing w:after="80"/>
        <w:ind w:left="1429" w:hanging="357"/>
        <w:contextualSpacing w:val="0"/>
        <w:rPr>
          <w:szCs w:val="24"/>
        </w:rPr>
      </w:pPr>
      <w:r>
        <w:rPr>
          <w:szCs w:val="24"/>
        </w:rPr>
        <w:t>A</w:t>
      </w:r>
      <w:r w:rsidR="002C2EC0" w:rsidRPr="0059218B">
        <w:rPr>
          <w:szCs w:val="24"/>
        </w:rPr>
        <w:t xml:space="preserve">nalyse and benchmark your inclusion data </w:t>
      </w:r>
      <w:r w:rsidR="002E5A46" w:rsidRPr="0059218B">
        <w:rPr>
          <w:szCs w:val="24"/>
        </w:rPr>
        <w:t>– to understand how inclusive your workplace is for different employee cohorts</w:t>
      </w:r>
      <w:r>
        <w:rPr>
          <w:szCs w:val="24"/>
        </w:rPr>
        <w:t>.</w:t>
      </w:r>
      <w:r w:rsidR="002E5A46" w:rsidRPr="0059218B">
        <w:rPr>
          <w:szCs w:val="24"/>
        </w:rPr>
        <w:t xml:space="preserve"> </w:t>
      </w:r>
    </w:p>
    <w:p w14:paraId="4622FA55" w14:textId="77777777" w:rsidR="00090941" w:rsidRPr="0059218B" w:rsidRDefault="005319D7" w:rsidP="00337E92">
      <w:pPr>
        <w:pStyle w:val="ListParagraph"/>
        <w:numPr>
          <w:ilvl w:val="0"/>
          <w:numId w:val="28"/>
        </w:numPr>
        <w:spacing w:before="360"/>
        <w:ind w:left="714" w:hanging="357"/>
        <w:contextualSpacing w:val="0"/>
        <w:rPr>
          <w:szCs w:val="24"/>
        </w:rPr>
      </w:pPr>
      <w:r w:rsidRPr="0059218B">
        <w:rPr>
          <w:b/>
          <w:bCs/>
          <w:szCs w:val="24"/>
        </w:rPr>
        <w:t>R</w:t>
      </w:r>
      <w:r w:rsidR="00090941" w:rsidRPr="0059218B">
        <w:rPr>
          <w:b/>
          <w:bCs/>
          <w:szCs w:val="24"/>
        </w:rPr>
        <w:t xml:space="preserve">EPORT </w:t>
      </w:r>
    </w:p>
    <w:p w14:paraId="06883B66" w14:textId="59D46C86" w:rsidR="00F8650E" w:rsidRPr="0059218B" w:rsidRDefault="150B919F" w:rsidP="150B919F">
      <w:pPr>
        <w:pStyle w:val="ListParagraph"/>
        <w:numPr>
          <w:ilvl w:val="0"/>
          <w:numId w:val="33"/>
        </w:numPr>
        <w:spacing w:after="80"/>
        <w:ind w:left="1077" w:hanging="357"/>
      </w:pPr>
      <w:r w:rsidRPr="41ED6CC6">
        <w:t>Share D&amp;I data findings internally and externally in a timely way.</w:t>
      </w:r>
    </w:p>
    <w:p w14:paraId="0BA13AA4" w14:textId="3C0035CE" w:rsidR="00875E32" w:rsidRPr="0059218B" w:rsidRDefault="00D74116" w:rsidP="00387752">
      <w:pPr>
        <w:pStyle w:val="ListParagraph"/>
        <w:numPr>
          <w:ilvl w:val="0"/>
          <w:numId w:val="33"/>
        </w:numPr>
        <w:spacing w:after="80"/>
        <w:ind w:left="1077" w:hanging="357"/>
        <w:contextualSpacing w:val="0"/>
        <w:rPr>
          <w:szCs w:val="24"/>
        </w:rPr>
      </w:pPr>
      <w:r>
        <w:rPr>
          <w:szCs w:val="24"/>
        </w:rPr>
        <w:t>L</w:t>
      </w:r>
      <w:r w:rsidR="00CD3A2C" w:rsidRPr="0059218B">
        <w:rPr>
          <w:szCs w:val="24"/>
        </w:rPr>
        <w:t xml:space="preserve">et </w:t>
      </w:r>
      <w:r w:rsidR="0029161F" w:rsidRPr="0059218B">
        <w:rPr>
          <w:szCs w:val="24"/>
        </w:rPr>
        <w:t xml:space="preserve">employees </w:t>
      </w:r>
      <w:r w:rsidR="00CD3A2C" w:rsidRPr="0059218B">
        <w:rPr>
          <w:szCs w:val="24"/>
        </w:rPr>
        <w:t xml:space="preserve">know </w:t>
      </w:r>
      <w:r w:rsidR="00E80650" w:rsidRPr="0059218B">
        <w:rPr>
          <w:szCs w:val="24"/>
        </w:rPr>
        <w:t xml:space="preserve">what actions you </w:t>
      </w:r>
      <w:r w:rsidR="00CD3A2C" w:rsidRPr="0059218B">
        <w:rPr>
          <w:szCs w:val="24"/>
        </w:rPr>
        <w:t xml:space="preserve">will </w:t>
      </w:r>
      <w:r w:rsidR="00E80650" w:rsidRPr="0059218B">
        <w:rPr>
          <w:szCs w:val="24"/>
        </w:rPr>
        <w:t xml:space="preserve">take to </w:t>
      </w:r>
      <w:r w:rsidR="007E56F6" w:rsidRPr="0059218B">
        <w:rPr>
          <w:szCs w:val="24"/>
        </w:rPr>
        <w:t xml:space="preserve">address the findings (so they know you are acting on the </w:t>
      </w:r>
      <w:r w:rsidR="0029161F" w:rsidRPr="0059218B">
        <w:rPr>
          <w:szCs w:val="24"/>
        </w:rPr>
        <w:t xml:space="preserve">data </w:t>
      </w:r>
      <w:r w:rsidR="00E80650" w:rsidRPr="0059218B">
        <w:rPr>
          <w:szCs w:val="24"/>
        </w:rPr>
        <w:t xml:space="preserve">they </w:t>
      </w:r>
      <w:r w:rsidR="00CD3A2C" w:rsidRPr="0059218B">
        <w:rPr>
          <w:szCs w:val="24"/>
        </w:rPr>
        <w:t>shared with you</w:t>
      </w:r>
      <w:r w:rsidR="007E56F6" w:rsidRPr="0059218B">
        <w:rPr>
          <w:szCs w:val="24"/>
        </w:rPr>
        <w:t>)</w:t>
      </w:r>
      <w:r>
        <w:rPr>
          <w:szCs w:val="24"/>
        </w:rPr>
        <w:t>.</w:t>
      </w:r>
      <w:r w:rsidR="00E80650" w:rsidRPr="0059218B">
        <w:rPr>
          <w:szCs w:val="24"/>
        </w:rPr>
        <w:t xml:space="preserve"> </w:t>
      </w:r>
    </w:p>
    <w:p w14:paraId="33F1D426" w14:textId="77777777" w:rsidR="00EA26AA" w:rsidRDefault="00EA26AA">
      <w:pPr>
        <w:rPr>
          <w:rFonts w:asciiTheme="majorHAnsi" w:eastAsiaTheme="majorEastAsia" w:hAnsiTheme="majorHAnsi" w:cstheme="majorBidi"/>
          <w:b/>
          <w:bCs/>
          <w:color w:val="0F4761" w:themeColor="accent1" w:themeShade="BF"/>
          <w:sz w:val="28"/>
          <w:szCs w:val="28"/>
          <w:lang w:val="en-US"/>
        </w:rPr>
      </w:pPr>
      <w:r>
        <w:br w:type="page"/>
      </w:r>
    </w:p>
    <w:p w14:paraId="46308FF9" w14:textId="3385ED6A" w:rsidR="007B335E" w:rsidRPr="0059218B" w:rsidRDefault="007B335E" w:rsidP="0008538D">
      <w:pPr>
        <w:pStyle w:val="Heading2"/>
      </w:pPr>
      <w:bookmarkStart w:id="9" w:name="_Toc193468420"/>
      <w:r w:rsidRPr="0059218B">
        <w:t xml:space="preserve">Guiding </w:t>
      </w:r>
      <w:r w:rsidR="00D9586C" w:rsidRPr="0059218B">
        <w:t>p</w:t>
      </w:r>
      <w:r w:rsidRPr="0059218B">
        <w:t xml:space="preserve">rinciples </w:t>
      </w:r>
      <w:r w:rsidR="00BF05B7" w:rsidRPr="0059218B">
        <w:t xml:space="preserve">for </w:t>
      </w:r>
      <w:r w:rsidR="00D9586C" w:rsidRPr="0059218B">
        <w:t>c</w:t>
      </w:r>
      <w:r w:rsidRPr="0059218B">
        <w:t xml:space="preserve">ollecting and </w:t>
      </w:r>
      <w:r w:rsidR="00D9586C" w:rsidRPr="0059218B">
        <w:t>r</w:t>
      </w:r>
      <w:r w:rsidRPr="0059218B">
        <w:t xml:space="preserve">eporting on </w:t>
      </w:r>
      <w:r w:rsidR="00800890">
        <w:t>D&amp;I</w:t>
      </w:r>
      <w:r w:rsidR="00800890" w:rsidRPr="0059218B">
        <w:t xml:space="preserve"> </w:t>
      </w:r>
      <w:r w:rsidR="00D9586C" w:rsidRPr="0059218B">
        <w:t>d</w:t>
      </w:r>
      <w:r w:rsidRPr="0059218B">
        <w:t>ata</w:t>
      </w:r>
      <w:bookmarkEnd w:id="9"/>
      <w:r w:rsidRPr="0059218B">
        <w:t xml:space="preserve"> </w:t>
      </w:r>
    </w:p>
    <w:p w14:paraId="5709B76A" w14:textId="1B507841" w:rsidR="00AD5CC9" w:rsidRPr="0059218B" w:rsidRDefault="150B919F" w:rsidP="00EA4A23">
      <w:r w:rsidRPr="41ED6CC6">
        <w:t xml:space="preserve">DCA’s 6 guiding principles will ensure your D&amp;I data approach is respectful, safe, accurate and effective. </w:t>
      </w:r>
    </w:p>
    <w:p w14:paraId="0D5B66BE" w14:textId="7BD97B7F" w:rsidR="00BB3060" w:rsidRPr="0059218B" w:rsidRDefault="00B36004" w:rsidP="00B36004">
      <w:pPr>
        <w:rPr>
          <w:b/>
          <w:bCs/>
          <w:szCs w:val="24"/>
        </w:rPr>
      </w:pPr>
      <w:r w:rsidRPr="0059218B">
        <w:rPr>
          <w:b/>
          <w:bCs/>
          <w:szCs w:val="24"/>
        </w:rPr>
        <w:t>Principle 1:</w:t>
      </w:r>
      <w:r w:rsidR="00CF7131" w:rsidRPr="0059218B">
        <w:rPr>
          <w:b/>
          <w:bCs/>
          <w:szCs w:val="24"/>
        </w:rPr>
        <w:t xml:space="preserve"> </w:t>
      </w:r>
      <w:r w:rsidR="003C31E6" w:rsidRPr="0059218B">
        <w:rPr>
          <w:b/>
          <w:bCs/>
          <w:szCs w:val="24"/>
        </w:rPr>
        <w:t>Remember</w:t>
      </w:r>
      <w:r w:rsidR="008D22AE" w:rsidRPr="0059218B">
        <w:rPr>
          <w:b/>
          <w:bCs/>
          <w:szCs w:val="24"/>
        </w:rPr>
        <w:t xml:space="preserve"> that</w:t>
      </w:r>
      <w:r w:rsidR="003C31E6" w:rsidRPr="0059218B">
        <w:rPr>
          <w:b/>
          <w:bCs/>
          <w:szCs w:val="24"/>
        </w:rPr>
        <w:t xml:space="preserve"> b</w:t>
      </w:r>
      <w:r w:rsidR="00E97099" w:rsidRPr="0059218B">
        <w:rPr>
          <w:b/>
          <w:bCs/>
          <w:szCs w:val="24"/>
        </w:rPr>
        <w:t xml:space="preserve">ehind </w:t>
      </w:r>
      <w:r w:rsidR="00967629" w:rsidRPr="0059218B">
        <w:rPr>
          <w:b/>
          <w:bCs/>
          <w:szCs w:val="24"/>
        </w:rPr>
        <w:t xml:space="preserve">D&amp;I data </w:t>
      </w:r>
      <w:r w:rsidR="00463E42" w:rsidRPr="0059218B">
        <w:rPr>
          <w:b/>
          <w:bCs/>
          <w:szCs w:val="24"/>
        </w:rPr>
        <w:t>are</w:t>
      </w:r>
      <w:r w:rsidR="0016543C" w:rsidRPr="0059218B">
        <w:rPr>
          <w:b/>
          <w:bCs/>
          <w:szCs w:val="24"/>
        </w:rPr>
        <w:t xml:space="preserve"> </w:t>
      </w:r>
      <w:r w:rsidR="005E088B" w:rsidRPr="0059218B">
        <w:rPr>
          <w:b/>
          <w:bCs/>
          <w:szCs w:val="24"/>
        </w:rPr>
        <w:t>people</w:t>
      </w:r>
      <w:r w:rsidR="005C3203" w:rsidRPr="0059218B">
        <w:rPr>
          <w:b/>
          <w:bCs/>
          <w:szCs w:val="24"/>
        </w:rPr>
        <w:t xml:space="preserve"> and their</w:t>
      </w:r>
      <w:r w:rsidR="00967629" w:rsidRPr="0059218B">
        <w:rPr>
          <w:b/>
          <w:bCs/>
          <w:szCs w:val="24"/>
        </w:rPr>
        <w:t xml:space="preserve"> lived</w:t>
      </w:r>
      <w:r w:rsidR="005C3203" w:rsidRPr="0059218B">
        <w:rPr>
          <w:b/>
          <w:bCs/>
          <w:szCs w:val="24"/>
        </w:rPr>
        <w:t xml:space="preserve"> experiences</w:t>
      </w:r>
      <w:r w:rsidR="0016543C" w:rsidRPr="0059218B">
        <w:rPr>
          <w:b/>
          <w:bCs/>
          <w:szCs w:val="24"/>
        </w:rPr>
        <w:t xml:space="preserve"> </w:t>
      </w:r>
    </w:p>
    <w:p w14:paraId="486D613B" w14:textId="228418E1" w:rsidR="00CF7131" w:rsidRPr="0059218B" w:rsidRDefault="00FA7214" w:rsidP="00CF7131">
      <w:pPr>
        <w:rPr>
          <w:szCs w:val="24"/>
        </w:rPr>
      </w:pPr>
      <w:r w:rsidRPr="0059218B">
        <w:rPr>
          <w:szCs w:val="24"/>
        </w:rPr>
        <w:t>C</w:t>
      </w:r>
      <w:r w:rsidR="002B2EF8" w:rsidRPr="0059218B">
        <w:rPr>
          <w:szCs w:val="24"/>
        </w:rPr>
        <w:t xml:space="preserve">ollecting </w:t>
      </w:r>
      <w:r w:rsidR="00800890">
        <w:rPr>
          <w:szCs w:val="24"/>
        </w:rPr>
        <w:t>D&amp;I</w:t>
      </w:r>
      <w:r w:rsidR="002B2EF8" w:rsidRPr="0059218B">
        <w:rPr>
          <w:szCs w:val="24"/>
        </w:rPr>
        <w:t xml:space="preserve"> data may be transactional</w:t>
      </w:r>
      <w:r w:rsidRPr="0059218B">
        <w:rPr>
          <w:szCs w:val="24"/>
        </w:rPr>
        <w:t xml:space="preserve"> for employers</w:t>
      </w:r>
      <w:r w:rsidR="00993DCD" w:rsidRPr="0059218B">
        <w:rPr>
          <w:szCs w:val="24"/>
        </w:rPr>
        <w:t xml:space="preserve"> </w:t>
      </w:r>
      <w:r w:rsidR="002B4816" w:rsidRPr="0059218B">
        <w:rPr>
          <w:szCs w:val="24"/>
        </w:rPr>
        <w:t xml:space="preserve">– just </w:t>
      </w:r>
      <w:r w:rsidRPr="0059218B">
        <w:rPr>
          <w:szCs w:val="24"/>
        </w:rPr>
        <w:t xml:space="preserve">one more data point among </w:t>
      </w:r>
      <w:r w:rsidR="002B4816" w:rsidRPr="0059218B">
        <w:rPr>
          <w:szCs w:val="24"/>
        </w:rPr>
        <w:t xml:space="preserve">many </w:t>
      </w:r>
      <w:r w:rsidRPr="0059218B">
        <w:rPr>
          <w:szCs w:val="24"/>
        </w:rPr>
        <w:t xml:space="preserve">being collected. </w:t>
      </w:r>
      <w:r w:rsidR="002B2EF8" w:rsidRPr="0059218B">
        <w:rPr>
          <w:szCs w:val="24"/>
        </w:rPr>
        <w:t>But for employees</w:t>
      </w:r>
      <w:r w:rsidR="0067740C" w:rsidRPr="0059218B">
        <w:rPr>
          <w:szCs w:val="24"/>
        </w:rPr>
        <w:t xml:space="preserve">, </w:t>
      </w:r>
      <w:r w:rsidR="002B2EF8" w:rsidRPr="0059218B">
        <w:rPr>
          <w:szCs w:val="24"/>
        </w:rPr>
        <w:t>particularly those from marginalised backgrounds</w:t>
      </w:r>
      <w:r w:rsidR="0067740C" w:rsidRPr="0059218B">
        <w:rPr>
          <w:szCs w:val="24"/>
        </w:rPr>
        <w:t xml:space="preserve">, </w:t>
      </w:r>
      <w:r w:rsidR="002B2EF8" w:rsidRPr="0059218B">
        <w:rPr>
          <w:szCs w:val="24"/>
        </w:rPr>
        <w:t xml:space="preserve">sharing this information is </w:t>
      </w:r>
      <w:r w:rsidR="003133BB" w:rsidRPr="0059218B">
        <w:rPr>
          <w:szCs w:val="24"/>
        </w:rPr>
        <w:t xml:space="preserve">incredibly </w:t>
      </w:r>
      <w:r w:rsidR="002B2EF8" w:rsidRPr="0059218B">
        <w:rPr>
          <w:szCs w:val="24"/>
        </w:rPr>
        <w:t>personal.</w:t>
      </w:r>
      <w:r w:rsidR="00BE1320" w:rsidRPr="0059218B">
        <w:rPr>
          <w:szCs w:val="24"/>
        </w:rPr>
        <w:t xml:space="preserve"> </w:t>
      </w:r>
      <w:r w:rsidR="00800890">
        <w:rPr>
          <w:szCs w:val="24"/>
        </w:rPr>
        <w:t>Your people are a</w:t>
      </w:r>
      <w:r w:rsidR="008832F0" w:rsidRPr="0059218B">
        <w:rPr>
          <w:szCs w:val="24"/>
        </w:rPr>
        <w:t xml:space="preserve">t the core of </w:t>
      </w:r>
      <w:r w:rsidR="0067740C" w:rsidRPr="0059218B">
        <w:rPr>
          <w:szCs w:val="24"/>
        </w:rPr>
        <w:t>D&amp;I</w:t>
      </w:r>
      <w:r w:rsidR="008832F0" w:rsidRPr="0059218B">
        <w:rPr>
          <w:szCs w:val="24"/>
        </w:rPr>
        <w:t xml:space="preserve"> </w:t>
      </w:r>
      <w:r w:rsidR="00432108" w:rsidRPr="0059218B">
        <w:rPr>
          <w:szCs w:val="24"/>
        </w:rPr>
        <w:t>data</w:t>
      </w:r>
      <w:r w:rsidR="00F83AC0" w:rsidRPr="0059218B">
        <w:rPr>
          <w:szCs w:val="24"/>
        </w:rPr>
        <w:t xml:space="preserve">: </w:t>
      </w:r>
      <w:r w:rsidR="00277274" w:rsidRPr="0059218B">
        <w:rPr>
          <w:szCs w:val="24"/>
        </w:rPr>
        <w:t xml:space="preserve">how they </w:t>
      </w:r>
      <w:r w:rsidR="00277274" w:rsidRPr="0059218B">
        <w:rPr>
          <w:i/>
          <w:iCs/>
          <w:szCs w:val="24"/>
        </w:rPr>
        <w:t>see themselves</w:t>
      </w:r>
      <w:r w:rsidR="00277274" w:rsidRPr="0059218B">
        <w:rPr>
          <w:szCs w:val="24"/>
        </w:rPr>
        <w:t xml:space="preserve"> </w:t>
      </w:r>
      <w:r w:rsidR="00D84D5C" w:rsidRPr="0059218B">
        <w:rPr>
          <w:szCs w:val="24"/>
        </w:rPr>
        <w:t xml:space="preserve">and their </w:t>
      </w:r>
      <w:r w:rsidR="00D84D5C" w:rsidRPr="0059218B">
        <w:rPr>
          <w:i/>
          <w:iCs/>
          <w:szCs w:val="24"/>
        </w:rPr>
        <w:t>lived experiences</w:t>
      </w:r>
      <w:r w:rsidR="00432108" w:rsidRPr="0059218B">
        <w:rPr>
          <w:szCs w:val="24"/>
        </w:rPr>
        <w:t xml:space="preserve"> of being included or excluded at work</w:t>
      </w:r>
      <w:r w:rsidR="00D84D5C" w:rsidRPr="0059218B">
        <w:rPr>
          <w:szCs w:val="24"/>
        </w:rPr>
        <w:t xml:space="preserve">. This </w:t>
      </w:r>
      <w:r w:rsidR="0067740C" w:rsidRPr="0059218B">
        <w:rPr>
          <w:szCs w:val="24"/>
        </w:rPr>
        <w:t>makes</w:t>
      </w:r>
      <w:r w:rsidR="00D84D5C" w:rsidRPr="0059218B">
        <w:rPr>
          <w:szCs w:val="24"/>
        </w:rPr>
        <w:t xml:space="preserve"> it different </w:t>
      </w:r>
      <w:r w:rsidR="00800890">
        <w:rPr>
          <w:szCs w:val="24"/>
        </w:rPr>
        <w:t>from</w:t>
      </w:r>
      <w:r w:rsidR="00D84D5C" w:rsidRPr="0059218B">
        <w:rPr>
          <w:szCs w:val="24"/>
        </w:rPr>
        <w:t xml:space="preserve"> other</w:t>
      </w:r>
      <w:r w:rsidR="0067740C" w:rsidRPr="0059218B">
        <w:rPr>
          <w:szCs w:val="24"/>
        </w:rPr>
        <w:t xml:space="preserve"> data </w:t>
      </w:r>
      <w:r w:rsidR="005343B0" w:rsidRPr="0059218B">
        <w:rPr>
          <w:szCs w:val="24"/>
        </w:rPr>
        <w:t xml:space="preserve">you might be </w:t>
      </w:r>
      <w:r w:rsidR="0067740C" w:rsidRPr="0059218B">
        <w:rPr>
          <w:szCs w:val="24"/>
        </w:rPr>
        <w:t>collect</w:t>
      </w:r>
      <w:r w:rsidR="005343B0" w:rsidRPr="0059218B">
        <w:rPr>
          <w:szCs w:val="24"/>
        </w:rPr>
        <w:t>ing</w:t>
      </w:r>
      <w:r w:rsidR="00EE571E" w:rsidRPr="0059218B">
        <w:rPr>
          <w:szCs w:val="24"/>
        </w:rPr>
        <w:t xml:space="preserve"> </w:t>
      </w:r>
      <w:r w:rsidR="0067740C" w:rsidRPr="0059218B">
        <w:rPr>
          <w:szCs w:val="24"/>
        </w:rPr>
        <w:t>and report</w:t>
      </w:r>
      <w:r w:rsidR="005343B0" w:rsidRPr="0059218B">
        <w:rPr>
          <w:szCs w:val="24"/>
        </w:rPr>
        <w:t>ing</w:t>
      </w:r>
      <w:r w:rsidR="0067740C" w:rsidRPr="0059218B">
        <w:rPr>
          <w:szCs w:val="24"/>
        </w:rPr>
        <w:t xml:space="preserve"> on </w:t>
      </w:r>
      <w:r w:rsidR="003C56B5" w:rsidRPr="0059218B">
        <w:rPr>
          <w:szCs w:val="24"/>
        </w:rPr>
        <w:t>(</w:t>
      </w:r>
      <w:r w:rsidR="00800890">
        <w:rPr>
          <w:szCs w:val="24"/>
        </w:rPr>
        <w:t>such as</w:t>
      </w:r>
      <w:r w:rsidR="003C56B5" w:rsidRPr="0059218B">
        <w:rPr>
          <w:szCs w:val="24"/>
        </w:rPr>
        <w:t xml:space="preserve"> </w:t>
      </w:r>
      <w:r w:rsidR="008832F0" w:rsidRPr="0059218B">
        <w:rPr>
          <w:szCs w:val="24"/>
        </w:rPr>
        <w:t>sales</w:t>
      </w:r>
      <w:r w:rsidR="0001285F" w:rsidRPr="0059218B">
        <w:rPr>
          <w:szCs w:val="24"/>
        </w:rPr>
        <w:t xml:space="preserve"> </w:t>
      </w:r>
      <w:r w:rsidR="00800890">
        <w:rPr>
          <w:szCs w:val="24"/>
        </w:rPr>
        <w:t>or</w:t>
      </w:r>
      <w:r w:rsidR="0001285F" w:rsidRPr="0059218B">
        <w:rPr>
          <w:szCs w:val="24"/>
        </w:rPr>
        <w:t xml:space="preserve"> quality control data</w:t>
      </w:r>
      <w:r w:rsidR="003C56B5" w:rsidRPr="0059218B">
        <w:rPr>
          <w:szCs w:val="24"/>
        </w:rPr>
        <w:t xml:space="preserve">) and </w:t>
      </w:r>
      <w:r w:rsidR="00800890">
        <w:rPr>
          <w:szCs w:val="24"/>
        </w:rPr>
        <w:t>you must approach it</w:t>
      </w:r>
      <w:r w:rsidR="003C56B5" w:rsidRPr="0059218B">
        <w:rPr>
          <w:szCs w:val="24"/>
        </w:rPr>
        <w:t xml:space="preserve"> differently. </w:t>
      </w:r>
    </w:p>
    <w:p w14:paraId="7981D43D" w14:textId="250EB2E8" w:rsidR="00BB3060" w:rsidRPr="0059218B" w:rsidRDefault="00CF7131" w:rsidP="00CF7131">
      <w:pPr>
        <w:rPr>
          <w:b/>
          <w:bCs/>
          <w:szCs w:val="24"/>
        </w:rPr>
      </w:pPr>
      <w:r w:rsidRPr="0059218B">
        <w:rPr>
          <w:b/>
          <w:bCs/>
          <w:szCs w:val="24"/>
        </w:rPr>
        <w:t xml:space="preserve">Principle 2: </w:t>
      </w:r>
      <w:r w:rsidR="0016543C" w:rsidRPr="0059218B">
        <w:rPr>
          <w:b/>
          <w:bCs/>
          <w:szCs w:val="24"/>
        </w:rPr>
        <w:t>S</w:t>
      </w:r>
      <w:r w:rsidR="00432E5A" w:rsidRPr="0059218B">
        <w:rPr>
          <w:b/>
          <w:bCs/>
          <w:szCs w:val="24"/>
        </w:rPr>
        <w:t>elf-</w:t>
      </w:r>
      <w:r w:rsidR="00D06930" w:rsidRPr="0059218B">
        <w:rPr>
          <w:b/>
          <w:bCs/>
          <w:szCs w:val="24"/>
        </w:rPr>
        <w:t>determination and self-identi</w:t>
      </w:r>
      <w:r w:rsidR="00800890">
        <w:rPr>
          <w:b/>
          <w:bCs/>
          <w:szCs w:val="24"/>
        </w:rPr>
        <w:t>fication</w:t>
      </w:r>
      <w:r w:rsidR="00D06930" w:rsidRPr="0059218B">
        <w:rPr>
          <w:b/>
          <w:bCs/>
          <w:szCs w:val="24"/>
        </w:rPr>
        <w:t xml:space="preserve"> are</w:t>
      </w:r>
      <w:r w:rsidR="000C2ABE" w:rsidRPr="0059218B">
        <w:rPr>
          <w:b/>
          <w:bCs/>
          <w:szCs w:val="24"/>
        </w:rPr>
        <w:t xml:space="preserve"> </w:t>
      </w:r>
      <w:r w:rsidR="00E97C9A" w:rsidRPr="0059218B">
        <w:rPr>
          <w:b/>
          <w:bCs/>
          <w:szCs w:val="24"/>
        </w:rPr>
        <w:t>critical</w:t>
      </w:r>
      <w:r w:rsidR="00FD3A3F" w:rsidRPr="0059218B">
        <w:rPr>
          <w:b/>
          <w:bCs/>
          <w:szCs w:val="24"/>
        </w:rPr>
        <w:t xml:space="preserve"> </w:t>
      </w:r>
      <w:r w:rsidR="00A2247B" w:rsidRPr="0059218B">
        <w:rPr>
          <w:b/>
          <w:bCs/>
          <w:szCs w:val="24"/>
        </w:rPr>
        <w:t xml:space="preserve">for </w:t>
      </w:r>
      <w:r w:rsidR="00800890">
        <w:rPr>
          <w:b/>
          <w:bCs/>
          <w:szCs w:val="24"/>
        </w:rPr>
        <w:t xml:space="preserve">both </w:t>
      </w:r>
      <w:r w:rsidR="008E17D0" w:rsidRPr="0059218B">
        <w:rPr>
          <w:b/>
          <w:bCs/>
          <w:szCs w:val="24"/>
        </w:rPr>
        <w:t xml:space="preserve">respect and accuracy </w:t>
      </w:r>
    </w:p>
    <w:p w14:paraId="142486B2" w14:textId="4DF53733" w:rsidR="007D31A6" w:rsidRPr="0059218B" w:rsidRDefault="150B919F" w:rsidP="00C72E71">
      <w:r w:rsidRPr="41ED6CC6">
        <w:t>Your D&amp;I data approach must be based on self-determination and self-identification principles for it to be respectful and accurate:</w:t>
      </w:r>
    </w:p>
    <w:p w14:paraId="4AE39203" w14:textId="39CEE0D5" w:rsidR="00FC3162" w:rsidRPr="0059218B" w:rsidRDefault="00800890" w:rsidP="00337E92">
      <w:pPr>
        <w:pStyle w:val="ListParagraph"/>
        <w:numPr>
          <w:ilvl w:val="0"/>
          <w:numId w:val="11"/>
        </w:numPr>
        <w:ind w:left="714" w:hanging="357"/>
        <w:contextualSpacing w:val="0"/>
        <w:rPr>
          <w:szCs w:val="24"/>
        </w:rPr>
      </w:pPr>
      <w:r>
        <w:rPr>
          <w:szCs w:val="24"/>
        </w:rPr>
        <w:t>U</w:t>
      </w:r>
      <w:r w:rsidR="00FB7B08" w:rsidRPr="0059218B">
        <w:rPr>
          <w:szCs w:val="24"/>
        </w:rPr>
        <w:t>s</w:t>
      </w:r>
      <w:r>
        <w:rPr>
          <w:szCs w:val="24"/>
        </w:rPr>
        <w:t>e</w:t>
      </w:r>
      <w:r w:rsidR="00FB7B08" w:rsidRPr="0059218B">
        <w:rPr>
          <w:szCs w:val="24"/>
        </w:rPr>
        <w:t xml:space="preserve"> </w:t>
      </w:r>
      <w:r w:rsidR="00EC7653" w:rsidRPr="0059218B">
        <w:rPr>
          <w:szCs w:val="24"/>
        </w:rPr>
        <w:t xml:space="preserve">language, </w:t>
      </w:r>
      <w:r w:rsidR="00FB7B08" w:rsidRPr="0059218B">
        <w:rPr>
          <w:szCs w:val="24"/>
        </w:rPr>
        <w:t>questions and response options developed</w:t>
      </w:r>
      <w:r>
        <w:rPr>
          <w:szCs w:val="24"/>
        </w:rPr>
        <w:t xml:space="preserve"> or co-designed</w:t>
      </w:r>
      <w:r w:rsidR="00FB7B08" w:rsidRPr="0059218B">
        <w:rPr>
          <w:szCs w:val="24"/>
        </w:rPr>
        <w:t xml:space="preserve"> by people </w:t>
      </w:r>
      <w:r w:rsidR="006C4C2F" w:rsidRPr="0059218B">
        <w:rPr>
          <w:szCs w:val="24"/>
        </w:rPr>
        <w:t xml:space="preserve">who have </w:t>
      </w:r>
      <w:r w:rsidR="00FB7B08" w:rsidRPr="0059218B">
        <w:rPr>
          <w:szCs w:val="24"/>
        </w:rPr>
        <w:t xml:space="preserve">lived experience of </w:t>
      </w:r>
      <w:r>
        <w:rPr>
          <w:szCs w:val="24"/>
        </w:rPr>
        <w:t>each topic.</w:t>
      </w:r>
      <w:r w:rsidR="006C4C2F" w:rsidRPr="0059218B">
        <w:rPr>
          <w:szCs w:val="24"/>
        </w:rPr>
        <w:t xml:space="preserve"> </w:t>
      </w:r>
    </w:p>
    <w:p w14:paraId="799EC32A" w14:textId="3A327D11" w:rsidR="00FA1EA7" w:rsidRPr="0059218B" w:rsidRDefault="00800890" w:rsidP="00337E92">
      <w:pPr>
        <w:pStyle w:val="ListParagraph"/>
        <w:numPr>
          <w:ilvl w:val="0"/>
          <w:numId w:val="11"/>
        </w:numPr>
        <w:ind w:left="714" w:hanging="357"/>
        <w:contextualSpacing w:val="0"/>
        <w:rPr>
          <w:szCs w:val="24"/>
        </w:rPr>
      </w:pPr>
      <w:r>
        <w:rPr>
          <w:szCs w:val="24"/>
        </w:rPr>
        <w:t>A</w:t>
      </w:r>
      <w:r w:rsidR="00FA1EA7" w:rsidRPr="0059218B">
        <w:rPr>
          <w:szCs w:val="24"/>
        </w:rPr>
        <w:t xml:space="preserve">sk </w:t>
      </w:r>
      <w:r w:rsidR="0031096F" w:rsidRPr="0059218B">
        <w:rPr>
          <w:szCs w:val="24"/>
        </w:rPr>
        <w:t xml:space="preserve">your </w:t>
      </w:r>
      <w:r w:rsidR="00FA1EA7" w:rsidRPr="0059218B">
        <w:rPr>
          <w:szCs w:val="24"/>
        </w:rPr>
        <w:t>employees how th</w:t>
      </w:r>
      <w:r w:rsidR="00A60313" w:rsidRPr="0059218B">
        <w:rPr>
          <w:szCs w:val="24"/>
        </w:rPr>
        <w:t>ey see</w:t>
      </w:r>
      <w:r w:rsidR="003D5DC1" w:rsidRPr="0059218B">
        <w:rPr>
          <w:szCs w:val="24"/>
        </w:rPr>
        <w:t xml:space="preserve"> themselves</w:t>
      </w:r>
      <w:r w:rsidR="00AD0889" w:rsidRPr="0059218B">
        <w:rPr>
          <w:szCs w:val="24"/>
        </w:rPr>
        <w:t xml:space="preserve"> (</w:t>
      </w:r>
      <w:r>
        <w:rPr>
          <w:szCs w:val="24"/>
        </w:rPr>
        <w:t>for example,</w:t>
      </w:r>
      <w:r w:rsidR="00AD0889" w:rsidRPr="0059218B">
        <w:rPr>
          <w:szCs w:val="24"/>
        </w:rPr>
        <w:t xml:space="preserve"> </w:t>
      </w:r>
      <w:r w:rsidR="00A84259" w:rsidRPr="0059218B">
        <w:rPr>
          <w:szCs w:val="24"/>
        </w:rPr>
        <w:t xml:space="preserve">if </w:t>
      </w:r>
      <w:r w:rsidR="00AD0889" w:rsidRPr="0059218B">
        <w:rPr>
          <w:szCs w:val="24"/>
        </w:rPr>
        <w:t>they identify as a person with disability</w:t>
      </w:r>
      <w:r w:rsidR="000F1DE2" w:rsidRPr="0059218B">
        <w:rPr>
          <w:szCs w:val="24"/>
        </w:rPr>
        <w:t xml:space="preserve">, </w:t>
      </w:r>
      <w:r w:rsidR="00CB0EA7" w:rsidRPr="0059218B">
        <w:rPr>
          <w:szCs w:val="24"/>
        </w:rPr>
        <w:t>or</w:t>
      </w:r>
      <w:r w:rsidR="00AD0889" w:rsidRPr="0059218B">
        <w:rPr>
          <w:szCs w:val="24"/>
        </w:rPr>
        <w:t xml:space="preserve"> how they describe their gender)</w:t>
      </w:r>
      <w:r>
        <w:rPr>
          <w:szCs w:val="24"/>
        </w:rPr>
        <w:t>.</w:t>
      </w:r>
    </w:p>
    <w:p w14:paraId="51883842" w14:textId="00507A75" w:rsidR="00FC3162" w:rsidRPr="0059218B" w:rsidRDefault="150B919F" w:rsidP="150B919F">
      <w:pPr>
        <w:pStyle w:val="ListParagraph"/>
        <w:numPr>
          <w:ilvl w:val="0"/>
          <w:numId w:val="11"/>
        </w:numPr>
        <w:ind w:left="714" w:hanging="357"/>
      </w:pPr>
      <w:r w:rsidRPr="41ED6CC6">
        <w:t>Avoid making up your own questions and response options. Instead go to peak bodies representing people with lived experience and follow their recommended approach.</w:t>
      </w:r>
    </w:p>
    <w:p w14:paraId="2122096F" w14:textId="74939D27" w:rsidR="00BB3060" w:rsidRPr="0059218B" w:rsidRDefault="150B919F" w:rsidP="41ED6CC6">
      <w:r w:rsidRPr="41ED6CC6">
        <w:t xml:space="preserve">If you don’t use this approach, you risk using questions and response options that are disrespectful, inaccurate and alienating for employees.  </w:t>
      </w:r>
    </w:p>
    <w:p w14:paraId="58A27995" w14:textId="05ED4A87" w:rsidR="00795CCF" w:rsidRPr="0059218B" w:rsidRDefault="004F7EF0" w:rsidP="00CF7131">
      <w:pPr>
        <w:rPr>
          <w:b/>
          <w:bCs/>
          <w:szCs w:val="24"/>
        </w:rPr>
      </w:pPr>
      <w:r w:rsidRPr="0059218B">
        <w:rPr>
          <w:b/>
          <w:bCs/>
          <w:szCs w:val="24"/>
        </w:rPr>
        <w:t xml:space="preserve">Principle </w:t>
      </w:r>
      <w:r w:rsidR="005644F5" w:rsidRPr="0059218B">
        <w:rPr>
          <w:b/>
          <w:bCs/>
          <w:szCs w:val="24"/>
        </w:rPr>
        <w:t>3</w:t>
      </w:r>
      <w:r w:rsidRPr="0059218B">
        <w:rPr>
          <w:b/>
          <w:bCs/>
          <w:szCs w:val="24"/>
        </w:rPr>
        <w:t xml:space="preserve">: </w:t>
      </w:r>
      <w:r w:rsidR="00C57B0A" w:rsidRPr="0059218B">
        <w:rPr>
          <w:b/>
          <w:bCs/>
          <w:szCs w:val="24"/>
        </w:rPr>
        <w:t>Recognise risk –</w:t>
      </w:r>
      <w:r w:rsidR="00B846E7">
        <w:rPr>
          <w:b/>
          <w:bCs/>
          <w:szCs w:val="24"/>
        </w:rPr>
        <w:t xml:space="preserve"> </w:t>
      </w:r>
      <w:r w:rsidR="00887C3F" w:rsidRPr="0059218B">
        <w:rPr>
          <w:b/>
          <w:bCs/>
          <w:szCs w:val="24"/>
        </w:rPr>
        <w:t>in</w:t>
      </w:r>
      <w:r w:rsidR="00572A38" w:rsidRPr="0059218B">
        <w:rPr>
          <w:b/>
          <w:bCs/>
          <w:szCs w:val="24"/>
        </w:rPr>
        <w:t xml:space="preserve"> </w:t>
      </w:r>
      <w:r w:rsidR="00B846E7">
        <w:rPr>
          <w:b/>
          <w:bCs/>
          <w:szCs w:val="24"/>
        </w:rPr>
        <w:t xml:space="preserve">both </w:t>
      </w:r>
      <w:r w:rsidR="00C57B0A" w:rsidRPr="0059218B">
        <w:rPr>
          <w:b/>
          <w:bCs/>
          <w:szCs w:val="24"/>
        </w:rPr>
        <w:t xml:space="preserve">collecting </w:t>
      </w:r>
      <w:r w:rsidR="00C57B0A" w:rsidRPr="00E91F66">
        <w:rPr>
          <w:b/>
          <w:bCs/>
          <w:szCs w:val="24"/>
        </w:rPr>
        <w:t>and</w:t>
      </w:r>
      <w:r w:rsidR="00C57B0A" w:rsidRPr="0059218B">
        <w:rPr>
          <w:b/>
          <w:bCs/>
          <w:szCs w:val="24"/>
        </w:rPr>
        <w:t xml:space="preserve"> </w:t>
      </w:r>
      <w:r w:rsidR="00C57B0A" w:rsidRPr="005C3CB1">
        <w:rPr>
          <w:b/>
          <w:bCs/>
          <w:szCs w:val="24"/>
        </w:rPr>
        <w:t>not</w:t>
      </w:r>
      <w:r w:rsidR="00C57B0A" w:rsidRPr="0059218B">
        <w:rPr>
          <w:b/>
          <w:bCs/>
          <w:szCs w:val="24"/>
        </w:rPr>
        <w:t xml:space="preserve"> collecting D&amp;I data </w:t>
      </w:r>
    </w:p>
    <w:p w14:paraId="203AE82B" w14:textId="6AEDCC67" w:rsidR="009472FE" w:rsidRPr="0059218B" w:rsidRDefault="00317584" w:rsidP="00CF7131">
      <w:pPr>
        <w:rPr>
          <w:szCs w:val="24"/>
        </w:rPr>
      </w:pPr>
      <w:r w:rsidRPr="0059218B">
        <w:rPr>
          <w:szCs w:val="24"/>
        </w:rPr>
        <w:t xml:space="preserve">Recognise </w:t>
      </w:r>
      <w:r w:rsidR="009D0584" w:rsidRPr="0059218B">
        <w:rPr>
          <w:szCs w:val="24"/>
        </w:rPr>
        <w:t xml:space="preserve">there is risk in </w:t>
      </w:r>
      <w:r w:rsidRPr="0059218B">
        <w:rPr>
          <w:szCs w:val="24"/>
        </w:rPr>
        <w:t xml:space="preserve">whether you </w:t>
      </w:r>
      <w:r w:rsidR="009D0584" w:rsidRPr="0059218B">
        <w:rPr>
          <w:szCs w:val="24"/>
        </w:rPr>
        <w:t>collect</w:t>
      </w:r>
      <w:r w:rsidRPr="0059218B">
        <w:rPr>
          <w:szCs w:val="24"/>
        </w:rPr>
        <w:t xml:space="preserve"> </w:t>
      </w:r>
      <w:r w:rsidR="00DE3A2C" w:rsidRPr="0059218B">
        <w:rPr>
          <w:szCs w:val="24"/>
        </w:rPr>
        <w:t>D&amp;I data</w:t>
      </w:r>
      <w:r w:rsidRPr="0059218B">
        <w:rPr>
          <w:szCs w:val="24"/>
        </w:rPr>
        <w:t xml:space="preserve"> or do not</w:t>
      </w:r>
      <w:r w:rsidR="00B846E7">
        <w:rPr>
          <w:szCs w:val="24"/>
        </w:rPr>
        <w:t>:</w:t>
      </w:r>
      <w:r w:rsidR="00DE3A2C" w:rsidRPr="0059218B">
        <w:rPr>
          <w:szCs w:val="24"/>
        </w:rPr>
        <w:t xml:space="preserve"> </w:t>
      </w:r>
    </w:p>
    <w:p w14:paraId="611E6523" w14:textId="174CAE8D" w:rsidR="009472FE" w:rsidRPr="0059218B" w:rsidRDefault="150B919F" w:rsidP="150B919F">
      <w:pPr>
        <w:pStyle w:val="ListParagraph"/>
        <w:numPr>
          <w:ilvl w:val="0"/>
          <w:numId w:val="35"/>
        </w:numPr>
        <w:ind w:left="714" w:hanging="357"/>
      </w:pPr>
      <w:r w:rsidRPr="41ED6CC6">
        <w:t>When you collect D&amp;I data, you risk holding personal information that could be used to harm employees and the organisation if it’s not adequately stored and protected.</w:t>
      </w:r>
    </w:p>
    <w:p w14:paraId="49A238B0" w14:textId="323090A2" w:rsidR="00BC28C8" w:rsidRPr="0059218B" w:rsidRDefault="00B846E7" w:rsidP="00337E92">
      <w:pPr>
        <w:pStyle w:val="ListParagraph"/>
        <w:numPr>
          <w:ilvl w:val="0"/>
          <w:numId w:val="35"/>
        </w:numPr>
        <w:ind w:left="714" w:hanging="357"/>
        <w:contextualSpacing w:val="0"/>
        <w:rPr>
          <w:szCs w:val="24"/>
        </w:rPr>
      </w:pPr>
      <w:r>
        <w:rPr>
          <w:szCs w:val="24"/>
        </w:rPr>
        <w:t>When</w:t>
      </w:r>
      <w:r w:rsidR="009472FE" w:rsidRPr="0059218B">
        <w:rPr>
          <w:szCs w:val="24"/>
        </w:rPr>
        <w:t xml:space="preserve"> you do not collect D&amp;I data, you risk </w:t>
      </w:r>
      <w:r w:rsidR="000E57CD" w:rsidRPr="0059218B">
        <w:rPr>
          <w:szCs w:val="24"/>
        </w:rPr>
        <w:t>sending</w:t>
      </w:r>
      <w:r w:rsidR="00E851E7" w:rsidRPr="0059218B">
        <w:rPr>
          <w:szCs w:val="24"/>
        </w:rPr>
        <w:t xml:space="preserve"> a message to employees that </w:t>
      </w:r>
      <w:r w:rsidR="00164131" w:rsidRPr="0059218B">
        <w:rPr>
          <w:szCs w:val="24"/>
        </w:rPr>
        <w:t xml:space="preserve">diversity and inclusion </w:t>
      </w:r>
      <w:r w:rsidR="00002F6B" w:rsidRPr="0059218B">
        <w:rPr>
          <w:szCs w:val="24"/>
        </w:rPr>
        <w:t xml:space="preserve">are </w:t>
      </w:r>
      <w:r w:rsidR="009472FE" w:rsidRPr="0059218B">
        <w:rPr>
          <w:szCs w:val="24"/>
        </w:rPr>
        <w:t xml:space="preserve">not </w:t>
      </w:r>
      <w:r w:rsidR="00002F6B" w:rsidRPr="0059218B">
        <w:rPr>
          <w:szCs w:val="24"/>
        </w:rPr>
        <w:t>important</w:t>
      </w:r>
      <w:r w:rsidR="004312C3" w:rsidRPr="0059218B">
        <w:rPr>
          <w:szCs w:val="24"/>
        </w:rPr>
        <w:t xml:space="preserve"> and</w:t>
      </w:r>
      <w:r w:rsidR="00C37577" w:rsidRPr="0059218B">
        <w:rPr>
          <w:szCs w:val="24"/>
        </w:rPr>
        <w:t xml:space="preserve"> </w:t>
      </w:r>
      <w:r w:rsidR="009B70C1" w:rsidRPr="0059218B">
        <w:rPr>
          <w:szCs w:val="24"/>
        </w:rPr>
        <w:t xml:space="preserve">that </w:t>
      </w:r>
      <w:r w:rsidR="00C37577" w:rsidRPr="0059218B">
        <w:rPr>
          <w:szCs w:val="24"/>
        </w:rPr>
        <w:t>their experiences do not matter</w:t>
      </w:r>
      <w:r w:rsidR="004312C3" w:rsidRPr="0059218B">
        <w:rPr>
          <w:szCs w:val="24"/>
        </w:rPr>
        <w:t xml:space="preserve">. You also risk overlooking </w:t>
      </w:r>
      <w:r w:rsidR="000E57CD" w:rsidRPr="0059218B">
        <w:rPr>
          <w:szCs w:val="24"/>
        </w:rPr>
        <w:t xml:space="preserve">important </w:t>
      </w:r>
      <w:r w:rsidR="00BC28C8" w:rsidRPr="0059218B">
        <w:rPr>
          <w:szCs w:val="24"/>
        </w:rPr>
        <w:t>compliance</w:t>
      </w:r>
      <w:r w:rsidR="00F82B98" w:rsidRPr="0059218B">
        <w:rPr>
          <w:szCs w:val="24"/>
        </w:rPr>
        <w:t>-related</w:t>
      </w:r>
      <w:r w:rsidR="00E851E7" w:rsidRPr="0059218B">
        <w:rPr>
          <w:szCs w:val="24"/>
        </w:rPr>
        <w:t xml:space="preserve"> </w:t>
      </w:r>
      <w:r w:rsidR="00BC28C8" w:rsidRPr="0059218B">
        <w:rPr>
          <w:szCs w:val="24"/>
        </w:rPr>
        <w:t>data</w:t>
      </w:r>
      <w:r w:rsidR="005C3CB1">
        <w:rPr>
          <w:szCs w:val="24"/>
        </w:rPr>
        <w:t>,</w:t>
      </w:r>
      <w:r w:rsidR="00BC28C8" w:rsidRPr="0059218B">
        <w:rPr>
          <w:szCs w:val="24"/>
        </w:rPr>
        <w:t xml:space="preserve"> such as harassment incident levels and effectiveness of grievance processes</w:t>
      </w:r>
      <w:r w:rsidR="00F82B98" w:rsidRPr="0059218B">
        <w:rPr>
          <w:szCs w:val="24"/>
        </w:rPr>
        <w:t>.</w:t>
      </w:r>
      <w:r w:rsidR="00D47661" w:rsidRPr="0059218B">
        <w:rPr>
          <w:szCs w:val="24"/>
        </w:rPr>
        <w:t xml:space="preserve"> </w:t>
      </w:r>
    </w:p>
    <w:p w14:paraId="79CAC63B" w14:textId="77777777" w:rsidR="00EA26AA" w:rsidRDefault="150B919F" w:rsidP="00CF7131">
      <w:r w:rsidRPr="41ED6CC6">
        <w:t xml:space="preserve">While collecting D&amp;I data might bring risks, these shouldn’t put us off. The risks just mean we need to be proactive and diligent about our data privacy policies and processes. </w:t>
      </w:r>
    </w:p>
    <w:p w14:paraId="3FC3770F" w14:textId="77777777" w:rsidR="00EA26AA" w:rsidRDefault="00EA26AA">
      <w:r>
        <w:br w:type="page"/>
      </w:r>
    </w:p>
    <w:p w14:paraId="304F1EB1" w14:textId="7323CEDA" w:rsidR="0035692E" w:rsidRPr="00EA26AA" w:rsidRDefault="00CF7131" w:rsidP="00CF7131">
      <w:r w:rsidRPr="0059218B">
        <w:rPr>
          <w:b/>
          <w:bCs/>
          <w:szCs w:val="24"/>
        </w:rPr>
        <w:t xml:space="preserve">Principle </w:t>
      </w:r>
      <w:r w:rsidR="005644F5" w:rsidRPr="0059218B">
        <w:rPr>
          <w:b/>
          <w:bCs/>
          <w:szCs w:val="24"/>
        </w:rPr>
        <w:t>4</w:t>
      </w:r>
      <w:r w:rsidRPr="0059218B">
        <w:rPr>
          <w:b/>
          <w:bCs/>
          <w:szCs w:val="24"/>
        </w:rPr>
        <w:t xml:space="preserve">: </w:t>
      </w:r>
      <w:r w:rsidR="009B6969" w:rsidRPr="0059218B">
        <w:rPr>
          <w:b/>
          <w:bCs/>
          <w:szCs w:val="24"/>
        </w:rPr>
        <w:t>Prioritise</w:t>
      </w:r>
      <w:r w:rsidR="009C3340" w:rsidRPr="0059218B">
        <w:rPr>
          <w:b/>
          <w:bCs/>
          <w:szCs w:val="24"/>
        </w:rPr>
        <w:t xml:space="preserve"> employee</w:t>
      </w:r>
      <w:r w:rsidR="00FD6C94" w:rsidRPr="0059218B">
        <w:rPr>
          <w:b/>
          <w:bCs/>
          <w:szCs w:val="24"/>
        </w:rPr>
        <w:t xml:space="preserve"> trust in</w:t>
      </w:r>
      <w:r w:rsidR="00693C9A" w:rsidRPr="0059218B">
        <w:rPr>
          <w:b/>
          <w:bCs/>
          <w:szCs w:val="24"/>
        </w:rPr>
        <w:t xml:space="preserve"> your D&amp;I data collection</w:t>
      </w:r>
    </w:p>
    <w:p w14:paraId="385CF0D5" w14:textId="3DA09640" w:rsidR="007E5E35" w:rsidRPr="0059218B" w:rsidRDefault="00BF1623" w:rsidP="00BF1623">
      <w:r w:rsidRPr="41ED6CC6">
        <w:t xml:space="preserve">Many employees have </w:t>
      </w:r>
      <w:r w:rsidR="00FC44C7" w:rsidRPr="41ED6CC6">
        <w:t xml:space="preserve">privacy </w:t>
      </w:r>
      <w:r w:rsidRPr="41ED6CC6">
        <w:t xml:space="preserve">concerns about </w:t>
      </w:r>
      <w:r w:rsidR="000E3FFF" w:rsidRPr="41ED6CC6">
        <w:t xml:space="preserve">the </w:t>
      </w:r>
      <w:r w:rsidR="00FC44C7" w:rsidRPr="41ED6CC6">
        <w:t xml:space="preserve">D&amp;I </w:t>
      </w:r>
      <w:r w:rsidR="000E3FFF" w:rsidRPr="41ED6CC6">
        <w:t>information they share</w:t>
      </w:r>
      <w:r w:rsidRPr="41ED6CC6">
        <w:t xml:space="preserve">. </w:t>
      </w:r>
      <w:r w:rsidR="0031708C" w:rsidRPr="41ED6CC6">
        <w:t>These concerns are understandable</w:t>
      </w:r>
      <w:r w:rsidR="000E3FFF" w:rsidRPr="41ED6CC6">
        <w:t xml:space="preserve"> – data breaches </w:t>
      </w:r>
      <w:r w:rsidR="00C23070" w:rsidRPr="41ED6CC6">
        <w:t xml:space="preserve">in high-profile companies </w:t>
      </w:r>
      <w:r w:rsidR="000E3FFF" w:rsidRPr="41ED6CC6">
        <w:t>are</w:t>
      </w:r>
      <w:r w:rsidR="00E61ADE" w:rsidRPr="41ED6CC6">
        <w:t xml:space="preserve"> commonly </w:t>
      </w:r>
      <w:r w:rsidR="005C3CB1" w:rsidRPr="41ED6CC6">
        <w:t>mentioned in the media</w:t>
      </w:r>
      <w:r w:rsidR="00ED1438" w:rsidRPr="41ED6CC6">
        <w:t>,</w:t>
      </w:r>
      <w:r w:rsidR="00E61ADE" w:rsidRPr="41ED6CC6">
        <w:t xml:space="preserve"> and </w:t>
      </w:r>
      <w:r w:rsidR="008C37CB" w:rsidRPr="41ED6CC6">
        <w:t xml:space="preserve">marginalised employees report being </w:t>
      </w:r>
      <w:r w:rsidRPr="41ED6CC6">
        <w:t xml:space="preserve">treated differently </w:t>
      </w:r>
      <w:r w:rsidR="00B46C81" w:rsidRPr="41ED6CC6">
        <w:t xml:space="preserve">because </w:t>
      </w:r>
      <w:r w:rsidR="000240D8" w:rsidRPr="41ED6CC6">
        <w:t>they have shared D&amp;I</w:t>
      </w:r>
      <w:r w:rsidR="008C37CB" w:rsidRPr="41ED6CC6">
        <w:t xml:space="preserve"> data.</w:t>
      </w:r>
      <w:r w:rsidR="008C37CB" w:rsidRPr="41ED6CC6">
        <w:rPr>
          <w:rStyle w:val="EndnoteReference"/>
        </w:rPr>
        <w:endnoteReference w:id="6"/>
      </w:r>
      <w:r w:rsidRPr="41ED6CC6">
        <w:t xml:space="preserve"> </w:t>
      </w:r>
      <w:r w:rsidR="007E5E35" w:rsidRPr="41ED6CC6">
        <w:t xml:space="preserve">To build trust: </w:t>
      </w:r>
    </w:p>
    <w:p w14:paraId="1B832AC4" w14:textId="77777777" w:rsidR="000240D8" w:rsidRDefault="00C779B7" w:rsidP="00337E92">
      <w:pPr>
        <w:pStyle w:val="ListParagraph"/>
        <w:numPr>
          <w:ilvl w:val="0"/>
          <w:numId w:val="36"/>
        </w:numPr>
        <w:ind w:left="714" w:hanging="357"/>
        <w:contextualSpacing w:val="0"/>
        <w:rPr>
          <w:szCs w:val="24"/>
        </w:rPr>
      </w:pPr>
      <w:r w:rsidRPr="0059218B">
        <w:rPr>
          <w:szCs w:val="24"/>
        </w:rPr>
        <w:t>a</w:t>
      </w:r>
      <w:r w:rsidR="007E5E35" w:rsidRPr="0059218B">
        <w:rPr>
          <w:szCs w:val="24"/>
        </w:rPr>
        <w:t xml:space="preserve">cknowledge </w:t>
      </w:r>
      <w:r w:rsidR="009C23C7" w:rsidRPr="0059218B">
        <w:rPr>
          <w:szCs w:val="24"/>
        </w:rPr>
        <w:t>these concerns</w:t>
      </w:r>
    </w:p>
    <w:p w14:paraId="02748ABC" w14:textId="6609F4D9" w:rsidR="00C779B7" w:rsidRPr="0059218B" w:rsidRDefault="006416E5" w:rsidP="00337E92">
      <w:pPr>
        <w:pStyle w:val="ListParagraph"/>
        <w:numPr>
          <w:ilvl w:val="0"/>
          <w:numId w:val="36"/>
        </w:numPr>
        <w:ind w:left="714" w:hanging="357"/>
        <w:contextualSpacing w:val="0"/>
        <w:rPr>
          <w:szCs w:val="24"/>
        </w:rPr>
      </w:pPr>
      <w:r w:rsidRPr="0059218B">
        <w:rPr>
          <w:szCs w:val="24"/>
        </w:rPr>
        <w:t xml:space="preserve">spend time </w:t>
      </w:r>
      <w:r w:rsidR="005C3CB1">
        <w:rPr>
          <w:szCs w:val="24"/>
        </w:rPr>
        <w:t>developing</w:t>
      </w:r>
      <w:r w:rsidR="005C3CB1" w:rsidRPr="0059218B">
        <w:rPr>
          <w:szCs w:val="24"/>
        </w:rPr>
        <w:t xml:space="preserve"> </w:t>
      </w:r>
      <w:r w:rsidRPr="0059218B">
        <w:rPr>
          <w:szCs w:val="24"/>
        </w:rPr>
        <w:t>your data privacy processes</w:t>
      </w:r>
      <w:r w:rsidR="0094010F" w:rsidRPr="0059218B">
        <w:rPr>
          <w:szCs w:val="24"/>
        </w:rPr>
        <w:t xml:space="preserve"> </w:t>
      </w:r>
      <w:r w:rsidR="000240D8">
        <w:rPr>
          <w:szCs w:val="24"/>
        </w:rPr>
        <w:t>to</w:t>
      </w:r>
      <w:r w:rsidR="00397878" w:rsidRPr="0059218B">
        <w:rPr>
          <w:szCs w:val="24"/>
        </w:rPr>
        <w:t xml:space="preserve"> protect the confidentiality of employees</w:t>
      </w:r>
      <w:r w:rsidRPr="0059218B">
        <w:rPr>
          <w:szCs w:val="24"/>
        </w:rPr>
        <w:t xml:space="preserve"> </w:t>
      </w:r>
    </w:p>
    <w:p w14:paraId="0268E4E9" w14:textId="4AD0C8C6" w:rsidR="00BF1623" w:rsidRPr="0059218B" w:rsidRDefault="00995D74" w:rsidP="00337E92">
      <w:pPr>
        <w:pStyle w:val="ListParagraph"/>
        <w:numPr>
          <w:ilvl w:val="0"/>
          <w:numId w:val="36"/>
        </w:numPr>
        <w:ind w:left="714" w:hanging="357"/>
        <w:contextualSpacing w:val="0"/>
        <w:rPr>
          <w:szCs w:val="24"/>
        </w:rPr>
      </w:pPr>
      <w:r w:rsidRPr="0059218B">
        <w:rPr>
          <w:szCs w:val="24"/>
        </w:rPr>
        <w:t>b</w:t>
      </w:r>
      <w:r w:rsidR="00D142C7" w:rsidRPr="0059218B">
        <w:rPr>
          <w:szCs w:val="24"/>
        </w:rPr>
        <w:t xml:space="preserve">e </w:t>
      </w:r>
      <w:r w:rsidR="003F138C" w:rsidRPr="0059218B">
        <w:rPr>
          <w:szCs w:val="24"/>
        </w:rPr>
        <w:t xml:space="preserve">transparent </w:t>
      </w:r>
      <w:r w:rsidR="009D4239" w:rsidRPr="0059218B">
        <w:rPr>
          <w:szCs w:val="24"/>
        </w:rPr>
        <w:t xml:space="preserve">with employees </w:t>
      </w:r>
      <w:r w:rsidR="003F138C" w:rsidRPr="0059218B">
        <w:rPr>
          <w:szCs w:val="24"/>
        </w:rPr>
        <w:t>about</w:t>
      </w:r>
      <w:r w:rsidR="00995F12" w:rsidRPr="0059218B">
        <w:rPr>
          <w:szCs w:val="24"/>
        </w:rPr>
        <w:t xml:space="preserve"> what</w:t>
      </w:r>
      <w:r w:rsidR="00ED62C5" w:rsidRPr="0059218B">
        <w:rPr>
          <w:szCs w:val="24"/>
        </w:rPr>
        <w:t>, why and how</w:t>
      </w:r>
      <w:r w:rsidR="003F138C" w:rsidRPr="0059218B">
        <w:rPr>
          <w:szCs w:val="24"/>
        </w:rPr>
        <w:t xml:space="preserve"> </w:t>
      </w:r>
      <w:r w:rsidR="0081108F" w:rsidRPr="0059218B">
        <w:rPr>
          <w:szCs w:val="24"/>
        </w:rPr>
        <w:t xml:space="preserve">D&amp;I data </w:t>
      </w:r>
      <w:r w:rsidR="003F138C" w:rsidRPr="0059218B">
        <w:rPr>
          <w:szCs w:val="24"/>
        </w:rPr>
        <w:t>is being</w:t>
      </w:r>
      <w:r w:rsidR="00995F12" w:rsidRPr="0059218B">
        <w:rPr>
          <w:szCs w:val="24"/>
        </w:rPr>
        <w:t xml:space="preserve"> </w:t>
      </w:r>
      <w:r w:rsidR="00A35E6A" w:rsidRPr="0059218B">
        <w:rPr>
          <w:szCs w:val="24"/>
        </w:rPr>
        <w:t>collected</w:t>
      </w:r>
      <w:r w:rsidR="0081108F" w:rsidRPr="0059218B">
        <w:rPr>
          <w:szCs w:val="24"/>
        </w:rPr>
        <w:t xml:space="preserve">, </w:t>
      </w:r>
      <w:r w:rsidR="00995F12" w:rsidRPr="0059218B">
        <w:rPr>
          <w:szCs w:val="24"/>
        </w:rPr>
        <w:t xml:space="preserve">and who will have access to it. </w:t>
      </w:r>
    </w:p>
    <w:p w14:paraId="2264E893" w14:textId="12F37972" w:rsidR="008264FF" w:rsidRPr="0059218B" w:rsidRDefault="00CF7131" w:rsidP="00CF7131">
      <w:pPr>
        <w:rPr>
          <w:b/>
          <w:bCs/>
          <w:szCs w:val="24"/>
        </w:rPr>
      </w:pPr>
      <w:r w:rsidRPr="0059218B">
        <w:rPr>
          <w:b/>
          <w:bCs/>
          <w:szCs w:val="24"/>
        </w:rPr>
        <w:t xml:space="preserve">Principle </w:t>
      </w:r>
      <w:r w:rsidR="000423AA" w:rsidRPr="0059218B">
        <w:rPr>
          <w:b/>
          <w:bCs/>
          <w:szCs w:val="24"/>
        </w:rPr>
        <w:t>5</w:t>
      </w:r>
      <w:r w:rsidRPr="0059218B">
        <w:rPr>
          <w:b/>
          <w:bCs/>
          <w:szCs w:val="24"/>
        </w:rPr>
        <w:t xml:space="preserve">: </w:t>
      </w:r>
      <w:r w:rsidR="006C0B3A" w:rsidRPr="0059218B">
        <w:rPr>
          <w:b/>
          <w:bCs/>
          <w:szCs w:val="24"/>
        </w:rPr>
        <w:t>Be purposeful</w:t>
      </w:r>
      <w:r w:rsidR="00CE52E1" w:rsidRPr="0059218B">
        <w:rPr>
          <w:b/>
          <w:bCs/>
          <w:szCs w:val="24"/>
        </w:rPr>
        <w:t xml:space="preserve"> and genuine</w:t>
      </w:r>
      <w:r w:rsidR="006C0B3A" w:rsidRPr="0059218B">
        <w:rPr>
          <w:b/>
          <w:bCs/>
          <w:szCs w:val="24"/>
        </w:rPr>
        <w:t xml:space="preserve"> with the D&amp;I data you collect</w:t>
      </w:r>
    </w:p>
    <w:p w14:paraId="55407082" w14:textId="25EA61D1" w:rsidR="00F61881" w:rsidRPr="0059218B" w:rsidRDefault="150B919F" w:rsidP="00CF7131">
      <w:r w:rsidRPr="41ED6CC6">
        <w:t>Avoid collecting D&amp;I data for the sake of having data and then doing nothing with it. You can easily erode employee trust in your D&amp;I data processes if you don’t use or report on the data in a meaningful way. It is also a missed opportunity to inform your D&amp;I organisational change. Instead:</w:t>
      </w:r>
    </w:p>
    <w:p w14:paraId="1A986665" w14:textId="272ACCCF" w:rsidR="00631770" w:rsidRPr="0059218B" w:rsidRDefault="150B919F" w:rsidP="41ED6CC6">
      <w:pPr>
        <w:pStyle w:val="ListParagraph"/>
        <w:numPr>
          <w:ilvl w:val="0"/>
          <w:numId w:val="37"/>
        </w:numPr>
        <w:ind w:left="714" w:hanging="357"/>
      </w:pPr>
      <w:r w:rsidRPr="41ED6CC6">
        <w:t xml:space="preserve">set objectives from the start on why you are collecting D&amp;I data </w:t>
      </w:r>
    </w:p>
    <w:p w14:paraId="12DE0857" w14:textId="57BEB7A6" w:rsidR="00ED34B3" w:rsidRPr="0059218B" w:rsidRDefault="150B919F" w:rsidP="41ED6CC6">
      <w:pPr>
        <w:pStyle w:val="ListParagraph"/>
        <w:numPr>
          <w:ilvl w:val="0"/>
          <w:numId w:val="37"/>
        </w:numPr>
        <w:ind w:left="714" w:hanging="357"/>
      </w:pPr>
      <w:r w:rsidRPr="41ED6CC6">
        <w:t>use these objectives to decide what you will collect – and how you will collect and analyse it – to generate insights that support your D&amp;I work</w:t>
      </w:r>
    </w:p>
    <w:p w14:paraId="374A09D5" w14:textId="0A239A2B" w:rsidR="00D265FB" w:rsidRPr="0059218B" w:rsidRDefault="00D271F8" w:rsidP="00337E92">
      <w:pPr>
        <w:pStyle w:val="ListParagraph"/>
        <w:numPr>
          <w:ilvl w:val="0"/>
          <w:numId w:val="37"/>
        </w:numPr>
        <w:ind w:left="714" w:hanging="357"/>
        <w:contextualSpacing w:val="0"/>
        <w:rPr>
          <w:szCs w:val="24"/>
        </w:rPr>
      </w:pPr>
      <w:r w:rsidRPr="0059218B">
        <w:rPr>
          <w:szCs w:val="24"/>
        </w:rPr>
        <w:t xml:space="preserve">importantly, be ready to act on what your D&amp;I data tells you. </w:t>
      </w:r>
    </w:p>
    <w:p w14:paraId="08AA6687" w14:textId="0418D2F5" w:rsidR="004F68F7" w:rsidRPr="0059218B" w:rsidRDefault="004F68F7" w:rsidP="004F68F7">
      <w:pPr>
        <w:rPr>
          <w:b/>
          <w:bCs/>
          <w:szCs w:val="24"/>
        </w:rPr>
      </w:pPr>
      <w:r w:rsidRPr="0059218B">
        <w:rPr>
          <w:b/>
          <w:bCs/>
          <w:szCs w:val="24"/>
        </w:rPr>
        <w:t xml:space="preserve">Principle 6: </w:t>
      </w:r>
      <w:r w:rsidR="00EA06E2" w:rsidRPr="0059218B">
        <w:rPr>
          <w:b/>
          <w:bCs/>
          <w:szCs w:val="24"/>
        </w:rPr>
        <w:t xml:space="preserve">Make </w:t>
      </w:r>
      <w:r w:rsidR="008C744F" w:rsidRPr="0059218B">
        <w:rPr>
          <w:b/>
          <w:bCs/>
          <w:szCs w:val="24"/>
        </w:rPr>
        <w:t>your approach</w:t>
      </w:r>
      <w:r w:rsidR="00EA06E2" w:rsidRPr="0059218B">
        <w:rPr>
          <w:b/>
          <w:bCs/>
          <w:szCs w:val="24"/>
        </w:rPr>
        <w:t xml:space="preserve"> </w:t>
      </w:r>
      <w:r w:rsidR="00751854" w:rsidRPr="0059218B">
        <w:rPr>
          <w:b/>
          <w:bCs/>
          <w:szCs w:val="24"/>
        </w:rPr>
        <w:t>acc</w:t>
      </w:r>
      <w:r w:rsidR="00A350B9" w:rsidRPr="0059218B">
        <w:rPr>
          <w:b/>
          <w:bCs/>
          <w:szCs w:val="24"/>
        </w:rPr>
        <w:t>essib</w:t>
      </w:r>
      <w:r w:rsidR="00EA06E2" w:rsidRPr="0059218B">
        <w:rPr>
          <w:b/>
          <w:bCs/>
          <w:szCs w:val="24"/>
        </w:rPr>
        <w:t>le</w:t>
      </w:r>
      <w:r w:rsidR="00A350B9" w:rsidRPr="0059218B">
        <w:rPr>
          <w:b/>
          <w:bCs/>
          <w:szCs w:val="24"/>
        </w:rPr>
        <w:t xml:space="preserve"> </w:t>
      </w:r>
      <w:r w:rsidR="00EA06E2" w:rsidRPr="0059218B">
        <w:rPr>
          <w:b/>
          <w:bCs/>
          <w:szCs w:val="24"/>
        </w:rPr>
        <w:t>to all</w:t>
      </w:r>
      <w:r w:rsidR="00FD4B38" w:rsidRPr="0059218B">
        <w:rPr>
          <w:b/>
          <w:bCs/>
          <w:szCs w:val="24"/>
        </w:rPr>
        <w:t xml:space="preserve"> </w:t>
      </w:r>
      <w:r w:rsidR="00AE75DA" w:rsidRPr="0059218B">
        <w:rPr>
          <w:b/>
          <w:bCs/>
          <w:szCs w:val="24"/>
        </w:rPr>
        <w:t>when</w:t>
      </w:r>
      <w:r w:rsidR="00EB3976">
        <w:rPr>
          <w:b/>
          <w:bCs/>
          <w:szCs w:val="24"/>
        </w:rPr>
        <w:t xml:space="preserve"> you</w:t>
      </w:r>
      <w:r w:rsidR="00AE75DA" w:rsidRPr="0059218B">
        <w:rPr>
          <w:b/>
          <w:bCs/>
          <w:szCs w:val="24"/>
        </w:rPr>
        <w:t xml:space="preserve"> </w:t>
      </w:r>
      <w:r w:rsidR="00FD4B38" w:rsidRPr="0059218B">
        <w:rPr>
          <w:b/>
          <w:bCs/>
          <w:szCs w:val="24"/>
        </w:rPr>
        <w:t>collect</w:t>
      </w:r>
      <w:r w:rsidR="000F1977" w:rsidRPr="0059218B">
        <w:rPr>
          <w:b/>
          <w:bCs/>
          <w:szCs w:val="24"/>
        </w:rPr>
        <w:t>, communicat</w:t>
      </w:r>
      <w:r w:rsidR="00EB3976">
        <w:rPr>
          <w:b/>
          <w:bCs/>
          <w:szCs w:val="24"/>
        </w:rPr>
        <w:t>e</w:t>
      </w:r>
      <w:r w:rsidR="000F1977" w:rsidRPr="0059218B">
        <w:rPr>
          <w:b/>
          <w:bCs/>
          <w:szCs w:val="24"/>
        </w:rPr>
        <w:t xml:space="preserve"> </w:t>
      </w:r>
      <w:r w:rsidR="00FD4B38" w:rsidRPr="0059218B">
        <w:rPr>
          <w:b/>
          <w:bCs/>
          <w:szCs w:val="24"/>
        </w:rPr>
        <w:t xml:space="preserve">and report </w:t>
      </w:r>
      <w:r w:rsidR="00AE75DA" w:rsidRPr="0059218B">
        <w:rPr>
          <w:b/>
          <w:bCs/>
          <w:szCs w:val="24"/>
        </w:rPr>
        <w:t>on your D&amp;I data</w:t>
      </w:r>
    </w:p>
    <w:p w14:paraId="26BFDA21" w14:textId="32A44056" w:rsidR="002F064F" w:rsidRPr="0059218B" w:rsidRDefault="150B919F" w:rsidP="004F68F7">
      <w:r w:rsidRPr="41ED6CC6">
        <w:t>Check the accessibility of the platforms and materials you use to communicate, collect and report on your D&amp;I data. For example:</w:t>
      </w:r>
    </w:p>
    <w:p w14:paraId="6F59BC69" w14:textId="1540B072" w:rsidR="00471D44" w:rsidRPr="0059218B" w:rsidRDefault="007452D7" w:rsidP="00337E92">
      <w:pPr>
        <w:pStyle w:val="ListParagraph"/>
        <w:numPr>
          <w:ilvl w:val="0"/>
          <w:numId w:val="38"/>
        </w:numPr>
        <w:ind w:left="714" w:hanging="357"/>
        <w:contextualSpacing w:val="0"/>
        <w:rPr>
          <w:szCs w:val="24"/>
        </w:rPr>
      </w:pPr>
      <w:r w:rsidRPr="0059218B">
        <w:rPr>
          <w:szCs w:val="24"/>
        </w:rPr>
        <w:t>e</w:t>
      </w:r>
      <w:r w:rsidR="00126E75" w:rsidRPr="0059218B">
        <w:rPr>
          <w:szCs w:val="24"/>
        </w:rPr>
        <w:t xml:space="preserve">mployees who use screen readers and other assistive technology often find platforms and materials inaccessible </w:t>
      </w:r>
    </w:p>
    <w:p w14:paraId="02C5C85E" w14:textId="5143DE92" w:rsidR="00471D44" w:rsidRPr="0059218B" w:rsidRDefault="00BA792E" w:rsidP="150B919F">
      <w:pPr>
        <w:pStyle w:val="ListParagraph"/>
        <w:numPr>
          <w:ilvl w:val="0"/>
          <w:numId w:val="38"/>
        </w:numPr>
        <w:ind w:left="714" w:hanging="357"/>
      </w:pPr>
      <w:r w:rsidRPr="41ED6CC6">
        <w:t xml:space="preserve">employees find </w:t>
      </w:r>
      <w:r w:rsidR="007452D7" w:rsidRPr="41ED6CC6">
        <w:t>it</w:t>
      </w:r>
      <w:r w:rsidRPr="41ED6CC6">
        <w:t xml:space="preserve"> harder to follow </w:t>
      </w:r>
      <w:r w:rsidR="00D223D9" w:rsidRPr="41ED6CC6">
        <w:t>survey</w:t>
      </w:r>
      <w:r w:rsidR="00EB3976" w:rsidRPr="41ED6CC6">
        <w:t>s</w:t>
      </w:r>
      <w:r w:rsidR="00D223D9" w:rsidRPr="41ED6CC6">
        <w:t xml:space="preserve"> and </w:t>
      </w:r>
      <w:r w:rsidR="00B81395" w:rsidRPr="41ED6CC6">
        <w:t>HR information system (</w:t>
      </w:r>
      <w:r w:rsidR="00D223D9" w:rsidRPr="41ED6CC6">
        <w:t>HRIS</w:t>
      </w:r>
      <w:r w:rsidR="00B81395" w:rsidRPr="41ED6CC6">
        <w:t>)</w:t>
      </w:r>
      <w:r w:rsidR="007115C9" w:rsidRPr="41ED6CC6">
        <w:t xml:space="preserve"> forms</w:t>
      </w:r>
      <w:r w:rsidR="00A911BE" w:rsidRPr="41ED6CC6">
        <w:t xml:space="preserve"> </w:t>
      </w:r>
      <w:r w:rsidR="007452D7" w:rsidRPr="41ED6CC6">
        <w:t xml:space="preserve">when </w:t>
      </w:r>
      <w:r w:rsidR="00EB3976" w:rsidRPr="41ED6CC6">
        <w:t xml:space="preserve">the </w:t>
      </w:r>
      <w:r w:rsidR="007452D7" w:rsidRPr="41ED6CC6">
        <w:t>language and instructions are unclear.</w:t>
      </w:r>
      <w:r w:rsidR="00B9795A" w:rsidRPr="41ED6CC6">
        <w:rPr>
          <w:rStyle w:val="EndnoteReference"/>
        </w:rPr>
        <w:endnoteReference w:id="7"/>
      </w:r>
      <w:r w:rsidR="00337D37" w:rsidRPr="41ED6CC6">
        <w:t xml:space="preserve"> </w:t>
      </w:r>
    </w:p>
    <w:p w14:paraId="11ED5058" w14:textId="79639FF0" w:rsidR="00126E75" w:rsidRPr="0059218B" w:rsidRDefault="00471D44" w:rsidP="00471D44">
      <w:pPr>
        <w:rPr>
          <w:szCs w:val="24"/>
        </w:rPr>
      </w:pPr>
      <w:r w:rsidRPr="0059218B">
        <w:rPr>
          <w:szCs w:val="24"/>
        </w:rPr>
        <w:t>This</w:t>
      </w:r>
      <w:r w:rsidR="00303E35" w:rsidRPr="0059218B">
        <w:rPr>
          <w:szCs w:val="24"/>
        </w:rPr>
        <w:t xml:space="preserve"> </w:t>
      </w:r>
      <w:r w:rsidR="009B773F">
        <w:rPr>
          <w:szCs w:val="24"/>
        </w:rPr>
        <w:t xml:space="preserve">can prevent these employees from </w:t>
      </w:r>
      <w:r w:rsidR="005240FC" w:rsidRPr="0059218B">
        <w:rPr>
          <w:szCs w:val="24"/>
        </w:rPr>
        <w:t>shar</w:t>
      </w:r>
      <w:r w:rsidR="009B773F">
        <w:rPr>
          <w:szCs w:val="24"/>
        </w:rPr>
        <w:t>ing</w:t>
      </w:r>
      <w:r w:rsidR="005240FC" w:rsidRPr="0059218B">
        <w:rPr>
          <w:szCs w:val="24"/>
        </w:rPr>
        <w:t xml:space="preserve"> their </w:t>
      </w:r>
      <w:r w:rsidR="00DD3C9A" w:rsidRPr="0059218B">
        <w:rPr>
          <w:szCs w:val="24"/>
        </w:rPr>
        <w:t xml:space="preserve">diversity </w:t>
      </w:r>
      <w:r w:rsidR="005240FC" w:rsidRPr="0059218B">
        <w:rPr>
          <w:szCs w:val="24"/>
        </w:rPr>
        <w:t xml:space="preserve">information and </w:t>
      </w:r>
      <w:r w:rsidR="00DD3C9A" w:rsidRPr="0059218B">
        <w:rPr>
          <w:szCs w:val="24"/>
        </w:rPr>
        <w:t xml:space="preserve">inclusion </w:t>
      </w:r>
      <w:r w:rsidR="005240FC" w:rsidRPr="0059218B">
        <w:rPr>
          <w:szCs w:val="24"/>
        </w:rPr>
        <w:t>experiences</w:t>
      </w:r>
      <w:r w:rsidRPr="0059218B">
        <w:rPr>
          <w:szCs w:val="24"/>
        </w:rPr>
        <w:t xml:space="preserve">. </w:t>
      </w:r>
      <w:r w:rsidR="0019036A" w:rsidRPr="0059218B">
        <w:rPr>
          <w:szCs w:val="24"/>
        </w:rPr>
        <w:t>In turn, this means</w:t>
      </w:r>
      <w:r w:rsidR="00C340B3" w:rsidRPr="0059218B">
        <w:rPr>
          <w:szCs w:val="24"/>
        </w:rPr>
        <w:t xml:space="preserve"> </w:t>
      </w:r>
      <w:r w:rsidR="00BF632E" w:rsidRPr="0059218B">
        <w:rPr>
          <w:szCs w:val="24"/>
        </w:rPr>
        <w:t>your</w:t>
      </w:r>
      <w:r w:rsidR="00B46EEB" w:rsidRPr="0059218B">
        <w:rPr>
          <w:szCs w:val="24"/>
        </w:rPr>
        <w:t xml:space="preserve"> </w:t>
      </w:r>
      <w:r w:rsidR="0019036A" w:rsidRPr="0059218B">
        <w:rPr>
          <w:szCs w:val="24"/>
        </w:rPr>
        <w:t xml:space="preserve">D&amp;I </w:t>
      </w:r>
      <w:r w:rsidR="009B773F">
        <w:rPr>
          <w:szCs w:val="24"/>
        </w:rPr>
        <w:t xml:space="preserve">efforts may miss critical insights and be unable to effectively </w:t>
      </w:r>
      <w:r w:rsidR="00C03756" w:rsidRPr="0059218B">
        <w:rPr>
          <w:szCs w:val="24"/>
        </w:rPr>
        <w:t>address their</w:t>
      </w:r>
      <w:r w:rsidR="009B773F">
        <w:rPr>
          <w:szCs w:val="24"/>
        </w:rPr>
        <w:t xml:space="preserve"> </w:t>
      </w:r>
      <w:r w:rsidR="005C3CB1">
        <w:rPr>
          <w:szCs w:val="24"/>
        </w:rPr>
        <w:t>concerns</w:t>
      </w:r>
      <w:r w:rsidR="00C03756" w:rsidRPr="0059218B">
        <w:rPr>
          <w:szCs w:val="24"/>
        </w:rPr>
        <w:t>.</w:t>
      </w:r>
      <w:r w:rsidR="00B46EEB" w:rsidRPr="0059218B">
        <w:rPr>
          <w:szCs w:val="24"/>
        </w:rPr>
        <w:t xml:space="preserve"> </w:t>
      </w:r>
    </w:p>
    <w:p w14:paraId="77714343" w14:textId="77777777" w:rsidR="007B335E" w:rsidRPr="0059218B" w:rsidRDefault="007B335E">
      <w:pPr>
        <w:rPr>
          <w:rFonts w:asciiTheme="majorHAnsi" w:eastAsiaTheme="majorEastAsia" w:hAnsiTheme="majorHAnsi" w:cstheme="majorBidi"/>
          <w:color w:val="0F4761" w:themeColor="accent1" w:themeShade="BF"/>
          <w:sz w:val="40"/>
          <w:szCs w:val="40"/>
        </w:rPr>
      </w:pPr>
      <w:r w:rsidRPr="0059218B">
        <w:br w:type="page"/>
      </w:r>
    </w:p>
    <w:p w14:paraId="0A894466" w14:textId="33A8B4B5" w:rsidR="003A1C77" w:rsidRPr="0059218B" w:rsidRDefault="00C84F67" w:rsidP="0008538D">
      <w:pPr>
        <w:pStyle w:val="Heading2"/>
      </w:pPr>
      <w:bookmarkStart w:id="10" w:name="_Toc193468421"/>
      <w:r w:rsidRPr="0059218B">
        <w:t>S</w:t>
      </w:r>
      <w:r w:rsidR="009712CB" w:rsidRPr="0059218B">
        <w:t xml:space="preserve">TEP </w:t>
      </w:r>
      <w:r w:rsidRPr="0059218B">
        <w:t>1</w:t>
      </w:r>
      <w:r w:rsidR="009712CB" w:rsidRPr="0059218B">
        <w:t>:</w:t>
      </w:r>
      <w:r w:rsidRPr="0059218B">
        <w:t xml:space="preserve"> Prepare</w:t>
      </w:r>
      <w:bookmarkEnd w:id="10"/>
      <w:r w:rsidRPr="0059218B">
        <w:t xml:space="preserve"> </w:t>
      </w:r>
    </w:p>
    <w:p w14:paraId="4F9DBA4B" w14:textId="3C910320" w:rsidR="00BD1836" w:rsidRPr="0059218B" w:rsidRDefault="150B919F" w:rsidP="00151A5F">
      <w:r w:rsidRPr="41ED6CC6">
        <w:t>Prepare for D&amp;I data collection so your approach is respectful, safe, accurate and effective (that is, it can inform your organisation’s D&amp;I and broader business strategy).</w:t>
      </w:r>
    </w:p>
    <w:p w14:paraId="151E8EFE" w14:textId="27808177" w:rsidR="00454ADA" w:rsidRPr="0059218B" w:rsidRDefault="00454ADA" w:rsidP="0008538D">
      <w:pPr>
        <w:pStyle w:val="Heading3"/>
      </w:pPr>
      <w:r w:rsidRPr="0059218B">
        <w:t xml:space="preserve">Assess </w:t>
      </w:r>
      <w:r w:rsidR="007C3E83" w:rsidRPr="0059218B">
        <w:t>y</w:t>
      </w:r>
      <w:r w:rsidR="002437CB" w:rsidRPr="0059218B">
        <w:t xml:space="preserve">our </w:t>
      </w:r>
      <w:r w:rsidR="007C3E83" w:rsidRPr="0059218B">
        <w:t>o</w:t>
      </w:r>
      <w:r w:rsidR="002437CB" w:rsidRPr="0059218B">
        <w:t>rganisation</w:t>
      </w:r>
      <w:r w:rsidR="000E73FC" w:rsidRPr="0059218B">
        <w:t>’</w:t>
      </w:r>
      <w:r w:rsidR="002437CB" w:rsidRPr="0059218B">
        <w:t xml:space="preserve">s </w:t>
      </w:r>
      <w:r w:rsidR="007C3E83" w:rsidRPr="0059218B">
        <w:t>r</w:t>
      </w:r>
      <w:r w:rsidR="002437CB" w:rsidRPr="0059218B">
        <w:t xml:space="preserve">eadiness to </w:t>
      </w:r>
      <w:r w:rsidR="00977028" w:rsidRPr="0059218B">
        <w:t>c</w:t>
      </w:r>
      <w:r w:rsidR="002437CB" w:rsidRPr="0059218B">
        <w:t xml:space="preserve">ollect D&amp;I </w:t>
      </w:r>
      <w:r w:rsidR="00977028" w:rsidRPr="0059218B">
        <w:t>d</w:t>
      </w:r>
      <w:r w:rsidR="002437CB" w:rsidRPr="0059218B">
        <w:t xml:space="preserve">ata </w:t>
      </w:r>
    </w:p>
    <w:p w14:paraId="38E91C92" w14:textId="16F1D444" w:rsidR="00273F04" w:rsidRPr="0059218B" w:rsidRDefault="150B919F" w:rsidP="00273F04">
      <w:r w:rsidRPr="41ED6CC6">
        <w:rPr>
          <w:b/>
          <w:bCs/>
        </w:rPr>
        <w:t xml:space="preserve">Why? </w:t>
      </w:r>
      <w:r w:rsidRPr="41ED6CC6">
        <w:t xml:space="preserve">Often people jump quickly to capturing and storing D&amp;I data without thinking about whether their organisation is actually ready. By doing so, they risk alienating or excluding employees, breaching employee privacy and underusing the findings. </w:t>
      </w:r>
    </w:p>
    <w:p w14:paraId="42AF2BA1" w14:textId="004A8E96" w:rsidR="00A85DE4" w:rsidRPr="0059218B" w:rsidRDefault="005E1E70" w:rsidP="00A85DE4">
      <w:pPr>
        <w:rPr>
          <w:szCs w:val="24"/>
        </w:rPr>
      </w:pPr>
      <w:r w:rsidRPr="0059218B">
        <w:rPr>
          <w:b/>
          <w:bCs/>
          <w:szCs w:val="24"/>
        </w:rPr>
        <w:t xml:space="preserve">How? </w:t>
      </w:r>
      <w:r w:rsidR="000C4C1F" w:rsidRPr="0059218B">
        <w:rPr>
          <w:szCs w:val="24"/>
        </w:rPr>
        <w:t>To a</w:t>
      </w:r>
      <w:r w:rsidR="00D30FB9" w:rsidRPr="0059218B">
        <w:rPr>
          <w:szCs w:val="24"/>
        </w:rPr>
        <w:t>ssess how ready your organisation is to collect D&amp;I data</w:t>
      </w:r>
      <w:r w:rsidR="0001638C">
        <w:rPr>
          <w:szCs w:val="24"/>
        </w:rPr>
        <w:t>,</w:t>
      </w:r>
      <w:r w:rsidR="00915F15" w:rsidRPr="0059218B">
        <w:rPr>
          <w:szCs w:val="24"/>
        </w:rPr>
        <w:t xml:space="preserve"> consider the</w:t>
      </w:r>
      <w:r w:rsidR="0001638C">
        <w:rPr>
          <w:szCs w:val="24"/>
        </w:rPr>
        <w:t>se questions:</w:t>
      </w:r>
      <w:r w:rsidR="00915F15" w:rsidRPr="0059218B">
        <w:rPr>
          <w:szCs w:val="24"/>
        </w:rPr>
        <w:t xml:space="preserve"> </w:t>
      </w:r>
    </w:p>
    <w:p w14:paraId="5529919C" w14:textId="34AE8575" w:rsidR="00A85DE4" w:rsidRPr="0059218B" w:rsidRDefault="000C4C1F" w:rsidP="00730B0F">
      <w:pPr>
        <w:pStyle w:val="ListParagraph"/>
        <w:numPr>
          <w:ilvl w:val="0"/>
          <w:numId w:val="3"/>
        </w:numPr>
        <w:ind w:left="425" w:hanging="357"/>
        <w:contextualSpacing w:val="0"/>
        <w:rPr>
          <w:szCs w:val="24"/>
        </w:rPr>
      </w:pPr>
      <w:r w:rsidRPr="0059218B">
        <w:rPr>
          <w:b/>
          <w:bCs/>
          <w:szCs w:val="24"/>
        </w:rPr>
        <w:t xml:space="preserve">Are </w:t>
      </w:r>
      <w:r w:rsidR="00F22888" w:rsidRPr="0059218B">
        <w:rPr>
          <w:b/>
          <w:bCs/>
          <w:szCs w:val="24"/>
        </w:rPr>
        <w:t xml:space="preserve">your privacy </w:t>
      </w:r>
      <w:r w:rsidR="00AE0CA1" w:rsidRPr="0059218B">
        <w:rPr>
          <w:b/>
          <w:bCs/>
          <w:szCs w:val="24"/>
        </w:rPr>
        <w:t xml:space="preserve">policy </w:t>
      </w:r>
      <w:r w:rsidR="00F22888" w:rsidRPr="0059218B">
        <w:rPr>
          <w:b/>
          <w:bCs/>
          <w:szCs w:val="24"/>
        </w:rPr>
        <w:t xml:space="preserve">and </w:t>
      </w:r>
      <w:r w:rsidR="00D9267F" w:rsidRPr="0059218B">
        <w:rPr>
          <w:b/>
          <w:bCs/>
          <w:szCs w:val="24"/>
        </w:rPr>
        <w:t xml:space="preserve">data </w:t>
      </w:r>
      <w:r w:rsidR="00F22888" w:rsidRPr="0059218B">
        <w:rPr>
          <w:b/>
          <w:bCs/>
          <w:szCs w:val="24"/>
        </w:rPr>
        <w:t>security systems in order?</w:t>
      </w:r>
      <w:r w:rsidR="00F22888" w:rsidRPr="0059218B">
        <w:rPr>
          <w:szCs w:val="24"/>
        </w:rPr>
        <w:t xml:space="preserve"> </w:t>
      </w:r>
      <w:r w:rsidR="00A85DE4" w:rsidRPr="0059218B">
        <w:rPr>
          <w:szCs w:val="24"/>
        </w:rPr>
        <w:t>D</w:t>
      </w:r>
      <w:r w:rsidR="00BD2C3D" w:rsidRPr="0059218B">
        <w:rPr>
          <w:szCs w:val="24"/>
        </w:rPr>
        <w:t>&amp;I data (particularly diversity data)</w:t>
      </w:r>
      <w:r w:rsidR="00A85DE4" w:rsidRPr="0059218B">
        <w:rPr>
          <w:szCs w:val="24"/>
        </w:rPr>
        <w:t xml:space="preserve"> is considered personal information, </w:t>
      </w:r>
      <w:r w:rsidR="0001638C">
        <w:rPr>
          <w:szCs w:val="24"/>
        </w:rPr>
        <w:t>so</w:t>
      </w:r>
      <w:r w:rsidR="0001638C" w:rsidRPr="0059218B">
        <w:rPr>
          <w:szCs w:val="24"/>
        </w:rPr>
        <w:t xml:space="preserve"> </w:t>
      </w:r>
      <w:r w:rsidR="00A85DE4" w:rsidRPr="0059218B">
        <w:rPr>
          <w:szCs w:val="24"/>
        </w:rPr>
        <w:t xml:space="preserve">it needs to be stored securely with privacy measures in place. </w:t>
      </w:r>
    </w:p>
    <w:p w14:paraId="1C12FB39" w14:textId="7DC23C86" w:rsidR="00F22888" w:rsidRPr="0059218B" w:rsidRDefault="150B919F" w:rsidP="41ED6CC6">
      <w:pPr>
        <w:pStyle w:val="ListParagraph"/>
        <w:numPr>
          <w:ilvl w:val="0"/>
          <w:numId w:val="3"/>
        </w:numPr>
        <w:ind w:left="425" w:hanging="357"/>
      </w:pPr>
      <w:r w:rsidRPr="41ED6CC6">
        <w:rPr>
          <w:b/>
          <w:bCs/>
        </w:rPr>
        <w:t>Do you know who will (and won't) have access to the data?</w:t>
      </w:r>
      <w:r w:rsidRPr="41ED6CC6">
        <w:t xml:space="preserve"> Will only certain people in a D&amp;I, HR, recruiting or data team have access to this data? Or will others (e.g. managers or department heads) also have access? Decide who needs to access the data and why – especially when it could accidentally identify individual employees – and formalise this in policy and processes. </w:t>
      </w:r>
    </w:p>
    <w:p w14:paraId="15085917" w14:textId="43A65A1D" w:rsidR="00A85DE4" w:rsidRPr="0059218B" w:rsidRDefault="150B919F" w:rsidP="41ED6CC6">
      <w:pPr>
        <w:pStyle w:val="ListParagraph"/>
        <w:numPr>
          <w:ilvl w:val="0"/>
          <w:numId w:val="3"/>
        </w:numPr>
        <w:ind w:left="425" w:hanging="357"/>
      </w:pPr>
      <w:r w:rsidRPr="41ED6CC6">
        <w:rPr>
          <w:b/>
          <w:bCs/>
        </w:rPr>
        <w:t>Are your managers ready to access this data?</w:t>
      </w:r>
      <w:r w:rsidRPr="41ED6CC6">
        <w:t xml:space="preserve"> Will managers be able to see D&amp;I data on an HR information system or during recruitment that identifies employees or applicants? If yes, are you confident that your managers can see and use demographic data without bias? Have managers received training on how to maintain D&amp;I data privacy and not use D&amp;I data in inappropriate and harmful ways. </w:t>
      </w:r>
    </w:p>
    <w:p w14:paraId="53CEF082" w14:textId="7C8CA2C0" w:rsidR="004102B5" w:rsidRPr="0059218B" w:rsidRDefault="004102B5" w:rsidP="41ED6CC6">
      <w:pPr>
        <w:pStyle w:val="ListParagraph"/>
        <w:numPr>
          <w:ilvl w:val="0"/>
          <w:numId w:val="3"/>
        </w:numPr>
        <w:ind w:left="425" w:hanging="357"/>
      </w:pPr>
      <w:r w:rsidRPr="41ED6CC6">
        <w:rPr>
          <w:b/>
          <w:bCs/>
        </w:rPr>
        <w:t>Do senior leaders</w:t>
      </w:r>
      <w:r w:rsidR="00956693" w:rsidRPr="41ED6CC6">
        <w:rPr>
          <w:b/>
          <w:bCs/>
        </w:rPr>
        <w:t xml:space="preserve"> </w:t>
      </w:r>
      <w:r w:rsidRPr="41ED6CC6">
        <w:rPr>
          <w:b/>
          <w:bCs/>
        </w:rPr>
        <w:t>support D&amp;I data collection?</w:t>
      </w:r>
      <w:r w:rsidRPr="41ED6CC6">
        <w:t xml:space="preserve"> </w:t>
      </w:r>
      <w:r w:rsidR="005C41E9" w:rsidRPr="41ED6CC6">
        <w:t xml:space="preserve">Buy-in from senior leadership </w:t>
      </w:r>
      <w:r w:rsidR="00956693" w:rsidRPr="41ED6CC6">
        <w:t>makes a big differen</w:t>
      </w:r>
      <w:r w:rsidR="00F900EC" w:rsidRPr="41ED6CC6">
        <w:t xml:space="preserve">ce – </w:t>
      </w:r>
      <w:r w:rsidR="00A16893" w:rsidRPr="41ED6CC6">
        <w:t>i</w:t>
      </w:r>
      <w:r w:rsidR="0053376E" w:rsidRPr="41ED6CC6">
        <w:t xml:space="preserve">t can </w:t>
      </w:r>
      <w:r w:rsidR="006E70D0" w:rsidRPr="41ED6CC6">
        <w:t xml:space="preserve">help build employee confidence and so </w:t>
      </w:r>
      <w:r w:rsidR="0053376E" w:rsidRPr="41ED6CC6">
        <w:t xml:space="preserve">boost </w:t>
      </w:r>
      <w:r w:rsidR="006E70D0" w:rsidRPr="41ED6CC6">
        <w:t>response rates</w:t>
      </w:r>
      <w:r w:rsidR="0053376E" w:rsidRPr="41ED6CC6">
        <w:t xml:space="preserve">. </w:t>
      </w:r>
      <w:r w:rsidR="00D24425" w:rsidRPr="41ED6CC6">
        <w:t>I</w:t>
      </w:r>
      <w:r w:rsidR="00F900EC" w:rsidRPr="41ED6CC6">
        <w:t>f</w:t>
      </w:r>
      <w:r w:rsidR="00B33424" w:rsidRPr="41ED6CC6">
        <w:t xml:space="preserve"> senior leadership </w:t>
      </w:r>
      <w:r w:rsidR="00814FB8" w:rsidRPr="41ED6CC6">
        <w:t xml:space="preserve">buy-in </w:t>
      </w:r>
      <w:r w:rsidR="00B33424" w:rsidRPr="41ED6CC6">
        <w:t xml:space="preserve">is low, </w:t>
      </w:r>
      <w:r w:rsidR="00384ABE" w:rsidRPr="41ED6CC6">
        <w:t xml:space="preserve">build a business case for collecting D&amp;I data </w:t>
      </w:r>
      <w:r w:rsidR="0099249A" w:rsidRPr="41ED6CC6">
        <w:t xml:space="preserve">at your organisation </w:t>
      </w:r>
      <w:r w:rsidR="00384ABE" w:rsidRPr="41ED6CC6">
        <w:t>to gain</w:t>
      </w:r>
      <w:r w:rsidR="0099249A" w:rsidRPr="41ED6CC6">
        <w:t xml:space="preserve"> their</w:t>
      </w:r>
      <w:r w:rsidR="00384ABE" w:rsidRPr="41ED6CC6">
        <w:t> </w:t>
      </w:r>
      <w:r w:rsidR="00814FB8" w:rsidRPr="41ED6CC6">
        <w:t>support.</w:t>
      </w:r>
      <w:r w:rsidR="00814FB8" w:rsidRPr="41ED6CC6">
        <w:rPr>
          <w:rStyle w:val="EndnoteReference"/>
        </w:rPr>
        <w:endnoteReference w:id="8"/>
      </w:r>
      <w:r w:rsidR="00814FB8" w:rsidRPr="41ED6CC6">
        <w:t xml:space="preserve"> </w:t>
      </w:r>
    </w:p>
    <w:p w14:paraId="6DC4A144" w14:textId="5739AC3A" w:rsidR="00A85DE4" w:rsidRPr="0059218B" w:rsidRDefault="00EF5348" w:rsidP="00730B0F">
      <w:pPr>
        <w:pStyle w:val="ListParagraph"/>
        <w:numPr>
          <w:ilvl w:val="0"/>
          <w:numId w:val="3"/>
        </w:numPr>
        <w:ind w:left="425" w:hanging="357"/>
        <w:contextualSpacing w:val="0"/>
        <w:rPr>
          <w:szCs w:val="24"/>
        </w:rPr>
      </w:pPr>
      <w:r w:rsidRPr="0059218B">
        <w:rPr>
          <w:b/>
          <w:bCs/>
          <w:szCs w:val="24"/>
        </w:rPr>
        <w:t>Is this one of the first times you have asked employees to share D&amp;I information</w:t>
      </w:r>
      <w:r w:rsidR="00354EE3" w:rsidRPr="0059218B">
        <w:rPr>
          <w:b/>
          <w:bCs/>
          <w:szCs w:val="24"/>
        </w:rPr>
        <w:t xml:space="preserve">? </w:t>
      </w:r>
      <w:r w:rsidR="00DA2A2A" w:rsidRPr="0059218B">
        <w:rPr>
          <w:szCs w:val="24"/>
        </w:rPr>
        <w:t xml:space="preserve">If so, explain why you are collecting this data and how it will be stored and used. </w:t>
      </w:r>
      <w:r w:rsidR="00D24425" w:rsidRPr="0059218B">
        <w:rPr>
          <w:szCs w:val="24"/>
        </w:rPr>
        <w:t xml:space="preserve">Not doing this can lead to </w:t>
      </w:r>
      <w:r w:rsidR="00165806" w:rsidRPr="0059218B">
        <w:rPr>
          <w:szCs w:val="24"/>
        </w:rPr>
        <w:t>e</w:t>
      </w:r>
      <w:r w:rsidR="00A85DE4" w:rsidRPr="0059218B">
        <w:rPr>
          <w:szCs w:val="24"/>
        </w:rPr>
        <w:t>mployees be</w:t>
      </w:r>
      <w:r w:rsidR="00D24425" w:rsidRPr="0059218B">
        <w:rPr>
          <w:szCs w:val="24"/>
        </w:rPr>
        <w:t>ing</w:t>
      </w:r>
      <w:r w:rsidR="00A85DE4" w:rsidRPr="0059218B">
        <w:rPr>
          <w:szCs w:val="24"/>
        </w:rPr>
        <w:t xml:space="preserve"> confused </w:t>
      </w:r>
      <w:r w:rsidR="00CD6889" w:rsidRPr="0059218B">
        <w:rPr>
          <w:szCs w:val="24"/>
        </w:rPr>
        <w:t xml:space="preserve">or cynical </w:t>
      </w:r>
      <w:r w:rsidR="00A85DE4" w:rsidRPr="0059218B">
        <w:rPr>
          <w:szCs w:val="24"/>
        </w:rPr>
        <w:t xml:space="preserve">about </w:t>
      </w:r>
      <w:r w:rsidR="0001638C">
        <w:rPr>
          <w:szCs w:val="24"/>
        </w:rPr>
        <w:t>your intentions</w:t>
      </w:r>
      <w:r w:rsidR="00D24425" w:rsidRPr="0059218B">
        <w:rPr>
          <w:szCs w:val="24"/>
        </w:rPr>
        <w:t xml:space="preserve">. They will then be </w:t>
      </w:r>
      <w:r w:rsidR="00A85DE4" w:rsidRPr="0059218B">
        <w:rPr>
          <w:szCs w:val="24"/>
        </w:rPr>
        <w:t xml:space="preserve">less likely to provide </w:t>
      </w:r>
      <w:r w:rsidR="0001638C">
        <w:rPr>
          <w:szCs w:val="24"/>
        </w:rPr>
        <w:t>the data</w:t>
      </w:r>
      <w:r w:rsidR="00A85DE4" w:rsidRPr="0059218B">
        <w:rPr>
          <w:szCs w:val="24"/>
        </w:rPr>
        <w:t xml:space="preserve">. </w:t>
      </w:r>
      <w:r w:rsidR="00F53E68" w:rsidRPr="0059218B">
        <w:rPr>
          <w:szCs w:val="24"/>
        </w:rPr>
        <w:t>Remember</w:t>
      </w:r>
      <w:r w:rsidR="0001638C">
        <w:rPr>
          <w:szCs w:val="24"/>
        </w:rPr>
        <w:t xml:space="preserve"> that</w:t>
      </w:r>
      <w:r w:rsidR="00F53E68" w:rsidRPr="0059218B">
        <w:rPr>
          <w:szCs w:val="24"/>
        </w:rPr>
        <w:t xml:space="preserve"> i</w:t>
      </w:r>
      <w:r w:rsidR="00165806" w:rsidRPr="0059218B">
        <w:rPr>
          <w:szCs w:val="24"/>
        </w:rPr>
        <w:t xml:space="preserve">t may take a few </w:t>
      </w:r>
      <w:r w:rsidR="0001638C">
        <w:rPr>
          <w:szCs w:val="24"/>
        </w:rPr>
        <w:t>“</w:t>
      </w:r>
      <w:r w:rsidR="00165806" w:rsidRPr="0059218B">
        <w:rPr>
          <w:szCs w:val="24"/>
        </w:rPr>
        <w:t>rounds</w:t>
      </w:r>
      <w:r w:rsidR="0001638C">
        <w:rPr>
          <w:szCs w:val="24"/>
        </w:rPr>
        <w:t>”</w:t>
      </w:r>
      <w:r w:rsidR="00165806" w:rsidRPr="0059218B">
        <w:rPr>
          <w:szCs w:val="24"/>
        </w:rPr>
        <w:t xml:space="preserve"> of </w:t>
      </w:r>
      <w:r w:rsidR="00F53E68" w:rsidRPr="0059218B">
        <w:rPr>
          <w:szCs w:val="24"/>
        </w:rPr>
        <w:t xml:space="preserve">successful </w:t>
      </w:r>
      <w:r w:rsidR="00165806" w:rsidRPr="0059218B">
        <w:rPr>
          <w:szCs w:val="24"/>
        </w:rPr>
        <w:t xml:space="preserve">data collection to build employee trust and confidence. </w:t>
      </w:r>
    </w:p>
    <w:p w14:paraId="3F808205" w14:textId="5774B67A" w:rsidR="00A85DE4" w:rsidRPr="0059218B" w:rsidRDefault="003A2B8E" w:rsidP="0008538D">
      <w:pPr>
        <w:pStyle w:val="Heading3"/>
      </w:pPr>
      <w:r w:rsidRPr="0059218B">
        <w:t xml:space="preserve">Be </w:t>
      </w:r>
      <w:r w:rsidR="00122250" w:rsidRPr="0059218B">
        <w:t>c</w:t>
      </w:r>
      <w:r w:rsidRPr="0059218B">
        <w:t xml:space="preserve">lear </w:t>
      </w:r>
      <w:r w:rsidR="00122250" w:rsidRPr="0059218B">
        <w:t>a</w:t>
      </w:r>
      <w:r w:rsidRPr="0059218B">
        <w:t xml:space="preserve">bout </w:t>
      </w:r>
      <w:r w:rsidR="0001638C">
        <w:t>why</w:t>
      </w:r>
      <w:r w:rsidRPr="0059218B">
        <w:t xml:space="preserve"> </w:t>
      </w:r>
      <w:r w:rsidR="00122250" w:rsidRPr="0059218B">
        <w:t>y</w:t>
      </w:r>
      <w:r w:rsidR="00A85DE4" w:rsidRPr="0059218B">
        <w:t xml:space="preserve">ou </w:t>
      </w:r>
      <w:r w:rsidR="00122250" w:rsidRPr="0059218B">
        <w:t>a</w:t>
      </w:r>
      <w:r w:rsidR="00A85DE4" w:rsidRPr="0059218B">
        <w:t xml:space="preserve">re </w:t>
      </w:r>
      <w:r w:rsidR="00122250" w:rsidRPr="0059218B">
        <w:t>c</w:t>
      </w:r>
      <w:r w:rsidR="00A85DE4" w:rsidRPr="0059218B">
        <w:t xml:space="preserve">ollecting </w:t>
      </w:r>
      <w:r w:rsidR="00122250" w:rsidRPr="0059218B">
        <w:t>e</w:t>
      </w:r>
      <w:r w:rsidR="00A85DE4" w:rsidRPr="0059218B">
        <w:t xml:space="preserve">mployee D&amp;I </w:t>
      </w:r>
      <w:r w:rsidR="00122250" w:rsidRPr="0059218B">
        <w:t>d</w:t>
      </w:r>
      <w:r w:rsidR="00A85DE4" w:rsidRPr="0059218B">
        <w:t xml:space="preserve">ata </w:t>
      </w:r>
    </w:p>
    <w:p w14:paraId="0A099D93" w14:textId="3ED4751B" w:rsidR="00B8367D" w:rsidRPr="0059218B" w:rsidRDefault="00273F04" w:rsidP="00D13C18">
      <w:pPr>
        <w:rPr>
          <w:szCs w:val="24"/>
        </w:rPr>
      </w:pPr>
      <w:r w:rsidRPr="0059218B">
        <w:rPr>
          <w:b/>
          <w:bCs/>
          <w:szCs w:val="24"/>
        </w:rPr>
        <w:t xml:space="preserve">Why? </w:t>
      </w:r>
      <w:r w:rsidR="0071786A" w:rsidRPr="0059218B">
        <w:rPr>
          <w:szCs w:val="24"/>
        </w:rPr>
        <w:t xml:space="preserve">Being clear about </w:t>
      </w:r>
      <w:r w:rsidR="0071786A" w:rsidRPr="0059218B">
        <w:rPr>
          <w:b/>
          <w:bCs/>
          <w:szCs w:val="24"/>
        </w:rPr>
        <w:t>why</w:t>
      </w:r>
      <w:r w:rsidR="0071786A" w:rsidRPr="0059218B">
        <w:rPr>
          <w:szCs w:val="24"/>
        </w:rPr>
        <w:t xml:space="preserve"> you are collecting D&amp;I data helps you </w:t>
      </w:r>
      <w:r w:rsidR="00C7450A" w:rsidRPr="0059218B">
        <w:rPr>
          <w:szCs w:val="24"/>
        </w:rPr>
        <w:t xml:space="preserve">decide </w:t>
      </w:r>
      <w:r w:rsidR="00D13C18" w:rsidRPr="0059218B">
        <w:rPr>
          <w:b/>
          <w:bCs/>
          <w:szCs w:val="24"/>
        </w:rPr>
        <w:t>what</w:t>
      </w:r>
      <w:r w:rsidR="00D13C18" w:rsidRPr="0059218B">
        <w:rPr>
          <w:szCs w:val="24"/>
        </w:rPr>
        <w:t xml:space="preserve"> </w:t>
      </w:r>
      <w:r w:rsidR="00C7450A" w:rsidRPr="0059218B">
        <w:rPr>
          <w:szCs w:val="24"/>
        </w:rPr>
        <w:t xml:space="preserve">data you should collect </w:t>
      </w:r>
      <w:r w:rsidR="00D13C18" w:rsidRPr="0059218B">
        <w:rPr>
          <w:szCs w:val="24"/>
        </w:rPr>
        <w:t xml:space="preserve">and </w:t>
      </w:r>
      <w:r w:rsidR="00D13C18" w:rsidRPr="0059218B">
        <w:rPr>
          <w:b/>
          <w:bCs/>
          <w:szCs w:val="24"/>
        </w:rPr>
        <w:t>how</w:t>
      </w:r>
      <w:r w:rsidR="00D13C18" w:rsidRPr="0059218B">
        <w:rPr>
          <w:szCs w:val="24"/>
        </w:rPr>
        <w:t xml:space="preserve"> you </w:t>
      </w:r>
      <w:r w:rsidR="0071786A" w:rsidRPr="0059218B">
        <w:rPr>
          <w:szCs w:val="24"/>
        </w:rPr>
        <w:t xml:space="preserve">can best </w:t>
      </w:r>
      <w:r w:rsidR="00C7450A" w:rsidRPr="0059218B">
        <w:rPr>
          <w:szCs w:val="24"/>
        </w:rPr>
        <w:t>do this</w:t>
      </w:r>
      <w:r w:rsidR="0075392F" w:rsidRPr="0059218B">
        <w:rPr>
          <w:szCs w:val="24"/>
        </w:rPr>
        <w:t xml:space="preserve">. </w:t>
      </w:r>
      <w:r w:rsidR="00180D73" w:rsidRPr="0059218B">
        <w:rPr>
          <w:szCs w:val="24"/>
        </w:rPr>
        <w:t>This is respectful of respondent time and privacy.</w:t>
      </w:r>
      <w:r w:rsidR="0075392F" w:rsidRPr="0059218B">
        <w:rPr>
          <w:szCs w:val="24"/>
        </w:rPr>
        <w:t xml:space="preserve"> </w:t>
      </w:r>
      <w:r w:rsidR="00180D73" w:rsidRPr="0059218B">
        <w:rPr>
          <w:szCs w:val="24"/>
        </w:rPr>
        <w:t>C</w:t>
      </w:r>
      <w:r w:rsidR="0075392F" w:rsidRPr="0059218B">
        <w:rPr>
          <w:szCs w:val="24"/>
        </w:rPr>
        <w:t xml:space="preserve">ollecting data for the sake of collecting data </w:t>
      </w:r>
      <w:r w:rsidR="00E5771B" w:rsidRPr="0059218B">
        <w:rPr>
          <w:szCs w:val="24"/>
        </w:rPr>
        <w:t xml:space="preserve">risks </w:t>
      </w:r>
      <w:r w:rsidR="0075392F" w:rsidRPr="0059218B">
        <w:rPr>
          <w:szCs w:val="24"/>
        </w:rPr>
        <w:t>employee cynicism</w:t>
      </w:r>
      <w:r w:rsidR="00E5771B" w:rsidRPr="0059218B">
        <w:rPr>
          <w:szCs w:val="24"/>
        </w:rPr>
        <w:t xml:space="preserve"> and low response rates</w:t>
      </w:r>
      <w:r w:rsidR="0075392F" w:rsidRPr="0059218B">
        <w:rPr>
          <w:szCs w:val="24"/>
        </w:rPr>
        <w:t>.</w:t>
      </w:r>
      <w:r w:rsidR="00D13C18" w:rsidRPr="0059218B">
        <w:rPr>
          <w:szCs w:val="24"/>
        </w:rPr>
        <w:t xml:space="preserve"> </w:t>
      </w:r>
    </w:p>
    <w:p w14:paraId="0134B122" w14:textId="33A737F2" w:rsidR="0075392F" w:rsidRPr="0059218B" w:rsidRDefault="00B8367D" w:rsidP="00D13C18">
      <w:pPr>
        <w:rPr>
          <w:szCs w:val="24"/>
        </w:rPr>
      </w:pPr>
      <w:r w:rsidRPr="0059218B">
        <w:rPr>
          <w:b/>
          <w:bCs/>
          <w:szCs w:val="24"/>
        </w:rPr>
        <w:t xml:space="preserve">How? </w:t>
      </w:r>
      <w:r w:rsidR="00EC50FC" w:rsidRPr="0059218B">
        <w:rPr>
          <w:szCs w:val="24"/>
        </w:rPr>
        <w:t xml:space="preserve">Be </w:t>
      </w:r>
      <w:r w:rsidR="0044024A" w:rsidRPr="0059218B">
        <w:rPr>
          <w:szCs w:val="24"/>
        </w:rPr>
        <w:t xml:space="preserve">clear about </w:t>
      </w:r>
      <w:r w:rsidR="00EC50FC" w:rsidRPr="0059218B">
        <w:rPr>
          <w:szCs w:val="24"/>
        </w:rPr>
        <w:t>why you are collecting D&amp;I data</w:t>
      </w:r>
      <w:r w:rsidR="0075392F" w:rsidRPr="0059218B">
        <w:rPr>
          <w:szCs w:val="24"/>
        </w:rPr>
        <w:t xml:space="preserve"> – for example, it might be to:</w:t>
      </w:r>
    </w:p>
    <w:p w14:paraId="7CD57EFA" w14:textId="6A09091A" w:rsidR="00D13C18" w:rsidRPr="0059218B" w:rsidRDefault="00D13C18" w:rsidP="00337E92">
      <w:pPr>
        <w:pStyle w:val="ListParagraph"/>
        <w:numPr>
          <w:ilvl w:val="0"/>
          <w:numId w:val="5"/>
        </w:numPr>
        <w:ind w:left="714" w:hanging="357"/>
        <w:contextualSpacing w:val="0"/>
        <w:rPr>
          <w:szCs w:val="24"/>
        </w:rPr>
      </w:pPr>
      <w:r w:rsidRPr="0059218B">
        <w:rPr>
          <w:szCs w:val="24"/>
        </w:rPr>
        <w:t>map the diversity profile of your workforce</w:t>
      </w:r>
    </w:p>
    <w:p w14:paraId="25754AF6" w14:textId="76BA6D4F" w:rsidR="00D13C18" w:rsidRPr="0059218B" w:rsidRDefault="00D13C18" w:rsidP="00337E92">
      <w:pPr>
        <w:pStyle w:val="ListParagraph"/>
        <w:numPr>
          <w:ilvl w:val="0"/>
          <w:numId w:val="5"/>
        </w:numPr>
        <w:ind w:left="714" w:hanging="357"/>
        <w:contextualSpacing w:val="0"/>
        <w:rPr>
          <w:szCs w:val="24"/>
        </w:rPr>
      </w:pPr>
      <w:r w:rsidRPr="0059218B">
        <w:rPr>
          <w:szCs w:val="24"/>
        </w:rPr>
        <w:t>assess how well your workforce reflects the diversity of your client base, Australia’s labour market</w:t>
      </w:r>
      <w:r w:rsidR="004D357A">
        <w:rPr>
          <w:szCs w:val="24"/>
        </w:rPr>
        <w:t xml:space="preserve"> </w:t>
      </w:r>
      <w:r w:rsidRPr="0059218B">
        <w:rPr>
          <w:szCs w:val="24"/>
        </w:rPr>
        <w:t>or the Australian community</w:t>
      </w:r>
    </w:p>
    <w:p w14:paraId="1FC988E0" w14:textId="57CEB6A6" w:rsidR="00D13C18" w:rsidRPr="0059218B" w:rsidRDefault="00D13C18" w:rsidP="00337E92">
      <w:pPr>
        <w:pStyle w:val="ListParagraph"/>
        <w:numPr>
          <w:ilvl w:val="0"/>
          <w:numId w:val="5"/>
        </w:numPr>
        <w:ind w:left="714" w:hanging="357"/>
        <w:contextualSpacing w:val="0"/>
        <w:rPr>
          <w:szCs w:val="24"/>
        </w:rPr>
      </w:pPr>
      <w:r w:rsidRPr="0059218B">
        <w:rPr>
          <w:szCs w:val="24"/>
        </w:rPr>
        <w:t>meet</w:t>
      </w:r>
      <w:r w:rsidR="0075392F" w:rsidRPr="0059218B">
        <w:rPr>
          <w:szCs w:val="24"/>
        </w:rPr>
        <w:t xml:space="preserve"> </w:t>
      </w:r>
      <w:r w:rsidRPr="0059218B">
        <w:rPr>
          <w:szCs w:val="24"/>
        </w:rPr>
        <w:t>reporting requirements (e.g. WGEA’s gender equality reporting)</w:t>
      </w:r>
    </w:p>
    <w:p w14:paraId="1194B41F" w14:textId="41530F59" w:rsidR="00D13C18" w:rsidRPr="0059218B" w:rsidRDefault="150B919F" w:rsidP="150B919F">
      <w:pPr>
        <w:pStyle w:val="ListParagraph"/>
        <w:numPr>
          <w:ilvl w:val="0"/>
          <w:numId w:val="5"/>
        </w:numPr>
        <w:ind w:left="714" w:hanging="357"/>
      </w:pPr>
      <w:r w:rsidRPr="41ED6CC6">
        <w:t>monitor your talent pipeline to identify levels and areas where demographic groups are notably over-represented or under-represented</w:t>
      </w:r>
    </w:p>
    <w:p w14:paraId="10CECC53" w14:textId="2698A683" w:rsidR="00D13C18" w:rsidRPr="0059218B" w:rsidRDefault="150B919F" w:rsidP="150B919F">
      <w:pPr>
        <w:pStyle w:val="ListParagraph"/>
        <w:numPr>
          <w:ilvl w:val="0"/>
          <w:numId w:val="5"/>
        </w:numPr>
        <w:ind w:left="714" w:hanging="357"/>
      </w:pPr>
      <w:r w:rsidRPr="41ED6CC6">
        <w:t xml:space="preserve">assess the impact of your D&amp;I initiatives on individuals, teams and your organisation over time </w:t>
      </w:r>
    </w:p>
    <w:p w14:paraId="6881556E" w14:textId="307370A4" w:rsidR="00D13C18" w:rsidRPr="0059218B" w:rsidRDefault="00D13C18" w:rsidP="00337E92">
      <w:pPr>
        <w:pStyle w:val="ListParagraph"/>
        <w:numPr>
          <w:ilvl w:val="0"/>
          <w:numId w:val="5"/>
        </w:numPr>
        <w:ind w:left="714" w:hanging="357"/>
        <w:contextualSpacing w:val="0"/>
        <w:rPr>
          <w:szCs w:val="24"/>
        </w:rPr>
      </w:pPr>
      <w:r w:rsidRPr="0059218B">
        <w:rPr>
          <w:szCs w:val="24"/>
        </w:rPr>
        <w:t xml:space="preserve">compare the inclusion experiences of employees from various demographic groups (e.g. </w:t>
      </w:r>
      <w:r w:rsidR="00DE6CA4" w:rsidRPr="0059218B">
        <w:rPr>
          <w:szCs w:val="24"/>
        </w:rPr>
        <w:t xml:space="preserve">First Nations and non-Indigenous employee </w:t>
      </w:r>
      <w:r w:rsidRPr="0059218B">
        <w:rPr>
          <w:szCs w:val="24"/>
        </w:rPr>
        <w:t>inclusion experiences)</w:t>
      </w:r>
    </w:p>
    <w:p w14:paraId="01752595" w14:textId="47A82AAE" w:rsidR="00B93FDF" w:rsidRPr="0059218B" w:rsidRDefault="150B919F" w:rsidP="150B919F">
      <w:pPr>
        <w:pStyle w:val="ListParagraph"/>
        <w:numPr>
          <w:ilvl w:val="0"/>
          <w:numId w:val="5"/>
        </w:numPr>
        <w:ind w:left="714" w:hanging="357"/>
      </w:pPr>
      <w:r w:rsidRPr="41ED6CC6">
        <w:t xml:space="preserve">identify possible bias and audit recruitment, remuneration, promotion and training practices. </w:t>
      </w:r>
    </w:p>
    <w:p w14:paraId="4008DD2C" w14:textId="7B905CAE" w:rsidR="00A85DE4" w:rsidRPr="0059218B" w:rsidRDefault="00A85DE4" w:rsidP="0008538D">
      <w:pPr>
        <w:pStyle w:val="Heading3"/>
      </w:pPr>
      <w:r w:rsidRPr="0059218B">
        <w:t>De</w:t>
      </w:r>
      <w:r w:rsidR="003A2B8E" w:rsidRPr="0059218B">
        <w:t xml:space="preserve">cide </w:t>
      </w:r>
      <w:r w:rsidR="004D357A" w:rsidRPr="006B486D">
        <w:rPr>
          <w:u w:val="single"/>
        </w:rPr>
        <w:t>how</w:t>
      </w:r>
      <w:r w:rsidR="003A2B8E" w:rsidRPr="0059218B">
        <w:t xml:space="preserve"> </w:t>
      </w:r>
      <w:r w:rsidR="00977028" w:rsidRPr="0059218B">
        <w:t>y</w:t>
      </w:r>
      <w:r w:rsidRPr="0059218B">
        <w:t xml:space="preserve">ou </w:t>
      </w:r>
      <w:r w:rsidR="00977028" w:rsidRPr="0059218B">
        <w:t>w</w:t>
      </w:r>
      <w:r w:rsidRPr="0059218B">
        <w:t xml:space="preserve">ill </w:t>
      </w:r>
      <w:r w:rsidR="00977028" w:rsidRPr="0059218B">
        <w:t>c</w:t>
      </w:r>
      <w:r w:rsidRPr="0059218B">
        <w:t xml:space="preserve">ollect D&amp;I </w:t>
      </w:r>
      <w:r w:rsidR="00977028" w:rsidRPr="0059218B">
        <w:t>d</w:t>
      </w:r>
      <w:r w:rsidRPr="0059218B">
        <w:t xml:space="preserve">ata </w:t>
      </w:r>
    </w:p>
    <w:p w14:paraId="4F137BFC" w14:textId="74036D9F" w:rsidR="00C5263F" w:rsidRPr="0059218B" w:rsidRDefault="150B919F" w:rsidP="003957AA">
      <w:r w:rsidRPr="41ED6CC6">
        <w:rPr>
          <w:b/>
          <w:bCs/>
        </w:rPr>
        <w:t xml:space="preserve">Why? </w:t>
      </w:r>
      <w:r w:rsidRPr="41ED6CC6">
        <w:t>There are different ways</w:t>
      </w:r>
      <w:r w:rsidRPr="41ED6CC6">
        <w:rPr>
          <w:b/>
          <w:bCs/>
        </w:rPr>
        <w:t xml:space="preserve"> </w:t>
      </w:r>
      <w:r w:rsidRPr="41ED6CC6">
        <w:t>to collect D&amp;I data, and each has its own advantages and disadvantages. The following table sets these out.</w:t>
      </w:r>
    </w:p>
    <w:p w14:paraId="41B632FC" w14:textId="48B24C82" w:rsidR="006A1872" w:rsidRDefault="00291B8D" w:rsidP="003957AA">
      <w:pPr>
        <w:rPr>
          <w:szCs w:val="24"/>
        </w:rPr>
      </w:pPr>
      <w:r w:rsidRPr="0059218B">
        <w:rPr>
          <w:b/>
          <w:bCs/>
          <w:szCs w:val="24"/>
        </w:rPr>
        <w:t xml:space="preserve">How? </w:t>
      </w:r>
      <w:r w:rsidR="004D357A">
        <w:rPr>
          <w:szCs w:val="24"/>
        </w:rPr>
        <w:t>Weigh up the advantages and disadvantages to choose a collection method that suits your organisation and employees.</w:t>
      </w:r>
    </w:p>
    <w:p w14:paraId="4F81FFBF" w14:textId="15FEA1DD" w:rsidR="0008538D" w:rsidRDefault="001A3BC3" w:rsidP="003957AA">
      <w:pPr>
        <w:rPr>
          <w:szCs w:val="24"/>
        </w:rPr>
      </w:pPr>
      <w:r>
        <w:rPr>
          <w:szCs w:val="24"/>
        </w:rPr>
        <w:t>Below are some advantages and disadvantages for various collection methods.</w:t>
      </w:r>
    </w:p>
    <w:p w14:paraId="0AEB5D7A" w14:textId="74F1737C" w:rsidR="001A3BC3" w:rsidRDefault="001A3BC3" w:rsidP="003957AA">
      <w:pPr>
        <w:rPr>
          <w:b/>
          <w:bCs/>
          <w:szCs w:val="24"/>
        </w:rPr>
      </w:pPr>
      <w:r>
        <w:rPr>
          <w:b/>
          <w:bCs/>
          <w:szCs w:val="24"/>
        </w:rPr>
        <w:t>Collection method - confidential HR information system (HRIS)</w:t>
      </w:r>
    </w:p>
    <w:p w14:paraId="1316A764" w14:textId="06750682" w:rsidR="001A3BC3" w:rsidRPr="001A3BC3" w:rsidRDefault="001A3BC3" w:rsidP="001A3BC3">
      <w:pPr>
        <w:pStyle w:val="ListParagraph"/>
        <w:numPr>
          <w:ilvl w:val="0"/>
          <w:numId w:val="5"/>
        </w:numPr>
        <w:rPr>
          <w:b/>
          <w:bCs/>
          <w:szCs w:val="24"/>
        </w:rPr>
      </w:pPr>
      <w:r>
        <w:rPr>
          <w:b/>
          <w:bCs/>
          <w:szCs w:val="24"/>
        </w:rPr>
        <w:t xml:space="preserve">Advantages: </w:t>
      </w:r>
      <w:r w:rsidRPr="41ED6CC6">
        <w:t>You can identify gaps</w:t>
      </w:r>
      <w:r w:rsidRPr="41ED6CC6">
        <w:rPr>
          <w:b/>
          <w:bCs/>
        </w:rPr>
        <w:t xml:space="preserve"> </w:t>
      </w:r>
      <w:r w:rsidRPr="41ED6CC6">
        <w:t>in recruitment, retention, development, remuneration and promotion outcomes by diversity group (e.g. promotions of First Nations employees and non-Indigenous employees).</w:t>
      </w:r>
    </w:p>
    <w:p w14:paraId="30532ECB" w14:textId="01680519" w:rsidR="001A3BC3" w:rsidRPr="001A3BC3" w:rsidRDefault="001A3BC3" w:rsidP="001A3BC3">
      <w:pPr>
        <w:pStyle w:val="ListParagraph"/>
        <w:numPr>
          <w:ilvl w:val="0"/>
          <w:numId w:val="5"/>
        </w:numPr>
        <w:rPr>
          <w:b/>
          <w:bCs/>
          <w:szCs w:val="24"/>
        </w:rPr>
      </w:pPr>
      <w:r>
        <w:rPr>
          <w:b/>
          <w:bCs/>
          <w:szCs w:val="24"/>
        </w:rPr>
        <w:t xml:space="preserve">Disadvantages: </w:t>
      </w:r>
      <w:r w:rsidRPr="41ED6CC6">
        <w:t>HRIS data is linked to individual employees</w:t>
      </w:r>
      <w:r>
        <w:t>,</w:t>
      </w:r>
      <w:r w:rsidRPr="41ED6CC6">
        <w:t xml:space="preserve"> so it usually results in a lower response rate than in an anonymous survey.</w:t>
      </w:r>
    </w:p>
    <w:p w14:paraId="2EDC1793" w14:textId="20FD5E16" w:rsidR="001A3BC3" w:rsidRDefault="001A3BC3" w:rsidP="001A3BC3">
      <w:pPr>
        <w:rPr>
          <w:b/>
          <w:bCs/>
          <w:szCs w:val="24"/>
        </w:rPr>
      </w:pPr>
      <w:r>
        <w:rPr>
          <w:b/>
          <w:bCs/>
          <w:szCs w:val="24"/>
        </w:rPr>
        <w:t>Collection method - anonymous survey</w:t>
      </w:r>
    </w:p>
    <w:p w14:paraId="2AFDA444" w14:textId="39B2B0C9" w:rsidR="001A3BC3" w:rsidRDefault="001A3BC3" w:rsidP="001A3BC3">
      <w:pPr>
        <w:pStyle w:val="ListParagraph"/>
        <w:numPr>
          <w:ilvl w:val="0"/>
          <w:numId w:val="57"/>
        </w:numPr>
      </w:pPr>
      <w:r w:rsidRPr="001A3BC3">
        <w:rPr>
          <w:b/>
          <w:bCs/>
          <w:szCs w:val="24"/>
        </w:rPr>
        <w:t xml:space="preserve">Advantages: </w:t>
      </w:r>
      <w:r w:rsidRPr="41ED6CC6">
        <w:t>Anonymous D&amp;I data collection has higher response rates as employees feel safer answering more truthfully when they know they cannot be identified.</w:t>
      </w:r>
      <w:r>
        <w:t xml:space="preserve"> </w:t>
      </w:r>
      <w:r w:rsidRPr="41ED6CC6">
        <w:t>This means the data about diversity representation and workplace inclusion can be more accurate.</w:t>
      </w:r>
    </w:p>
    <w:p w14:paraId="43BB33F9" w14:textId="28D968DD" w:rsidR="00132870" w:rsidRPr="0059218B" w:rsidRDefault="001A3BC3" w:rsidP="4A5B276E">
      <w:pPr>
        <w:pStyle w:val="ListParagraph"/>
        <w:numPr>
          <w:ilvl w:val="0"/>
          <w:numId w:val="57"/>
        </w:numPr>
      </w:pPr>
      <w:r>
        <w:rPr>
          <w:b/>
          <w:bCs/>
          <w:szCs w:val="24"/>
        </w:rPr>
        <w:t>Disadvantages:</w:t>
      </w:r>
      <w:r>
        <w:t xml:space="preserve"> While you can explore employee perceptions of inclusion, as the data is anonymous, you cannot identify actual gaps in recruitment, retention, development, remuneration and promotion outcomes by diversity group (e.g. the pay gap between men, women and non-binary employees).</w:t>
      </w:r>
    </w:p>
    <w:p w14:paraId="288A0716" w14:textId="6D049D7A" w:rsidR="004B6649" w:rsidRDefault="002A0F5E" w:rsidP="4A5B276E">
      <w:r>
        <w:t>If using anonymous surveys, also weigh up the advantages and disa</w:t>
      </w:r>
      <w:r w:rsidR="003D5A01">
        <w:t xml:space="preserve">dvantages of surveys developed in-house </w:t>
      </w:r>
      <w:r w:rsidR="0043149F">
        <w:t xml:space="preserve">compared to those developed by an </w:t>
      </w:r>
      <w:r w:rsidR="00C3278E">
        <w:t xml:space="preserve">external provider. </w:t>
      </w:r>
    </w:p>
    <w:p w14:paraId="6D643A4E" w14:textId="05418DBD" w:rsidR="001A3BC3" w:rsidRDefault="001A3BC3" w:rsidP="4A5B276E">
      <w:r>
        <w:t>Below are some advantages and disadvantages for types of anonymous survey.</w:t>
      </w:r>
    </w:p>
    <w:p w14:paraId="5EFAF485" w14:textId="29AC3F3B" w:rsidR="001A3BC3" w:rsidRDefault="001A3BC3" w:rsidP="4A5B276E">
      <w:pPr>
        <w:rPr>
          <w:b/>
          <w:bCs/>
        </w:rPr>
      </w:pPr>
      <w:r w:rsidRPr="001A3BC3">
        <w:rPr>
          <w:b/>
          <w:bCs/>
        </w:rPr>
        <w:t>Type of anonymous survey – developed in-house</w:t>
      </w:r>
    </w:p>
    <w:p w14:paraId="50E492A7" w14:textId="65446F7C" w:rsidR="001A3BC3" w:rsidRPr="001A3BC3" w:rsidRDefault="001A3BC3" w:rsidP="001A3BC3">
      <w:pPr>
        <w:pStyle w:val="ListParagraph"/>
        <w:numPr>
          <w:ilvl w:val="0"/>
          <w:numId w:val="57"/>
        </w:numPr>
        <w:rPr>
          <w:b/>
          <w:bCs/>
        </w:rPr>
      </w:pPr>
      <w:r>
        <w:rPr>
          <w:b/>
          <w:bCs/>
        </w:rPr>
        <w:t xml:space="preserve">Advantages: </w:t>
      </w:r>
      <w:r>
        <w:t>Cyber security risks may be easier to address internally.</w:t>
      </w:r>
    </w:p>
    <w:p w14:paraId="5A1106B0" w14:textId="0E56758A" w:rsidR="001A3BC3" w:rsidRDefault="001A3BC3" w:rsidP="001A3BC3">
      <w:pPr>
        <w:pStyle w:val="ListParagraph"/>
        <w:numPr>
          <w:ilvl w:val="0"/>
          <w:numId w:val="57"/>
        </w:numPr>
        <w:rPr>
          <w:szCs w:val="24"/>
        </w:rPr>
      </w:pPr>
      <w:r>
        <w:rPr>
          <w:b/>
          <w:bCs/>
        </w:rPr>
        <w:t>Disadvantages:</w:t>
      </w:r>
      <w:r>
        <w:rPr>
          <w:szCs w:val="24"/>
        </w:rPr>
        <w:t xml:space="preserve"> </w:t>
      </w:r>
      <w:r w:rsidRPr="001A3BC3">
        <w:rPr>
          <w:szCs w:val="24"/>
        </w:rPr>
        <w:t>Employees may worry that the data they share will be identifiable to HR or managers. Internal teams responsible for analysing and interpreting the data must have strong D&amp;I data capabilities.</w:t>
      </w:r>
    </w:p>
    <w:p w14:paraId="6BBDB397" w14:textId="0CA32D8A" w:rsidR="001A3BC3" w:rsidRDefault="001A3BC3" w:rsidP="001A3BC3">
      <w:pPr>
        <w:rPr>
          <w:b/>
          <w:bCs/>
          <w:szCs w:val="24"/>
        </w:rPr>
      </w:pPr>
      <w:r>
        <w:rPr>
          <w:b/>
          <w:bCs/>
          <w:szCs w:val="24"/>
        </w:rPr>
        <w:t>Type of anonymous survey – from an external provider</w:t>
      </w:r>
    </w:p>
    <w:p w14:paraId="04ED3AAD" w14:textId="3D3C3906" w:rsidR="001A3BC3" w:rsidRDefault="001A3BC3" w:rsidP="001A3BC3">
      <w:pPr>
        <w:pStyle w:val="ListParagraph"/>
        <w:numPr>
          <w:ilvl w:val="0"/>
          <w:numId w:val="57"/>
        </w:numPr>
        <w:rPr>
          <w:szCs w:val="24"/>
        </w:rPr>
      </w:pPr>
      <w:r>
        <w:rPr>
          <w:b/>
          <w:bCs/>
          <w:szCs w:val="24"/>
        </w:rPr>
        <w:t>Advantages:</w:t>
      </w:r>
      <w:r w:rsidRPr="001A3BC3">
        <w:t xml:space="preserve"> </w:t>
      </w:r>
      <w:r w:rsidRPr="001A3BC3">
        <w:rPr>
          <w:szCs w:val="24"/>
        </w:rPr>
        <w:t>An external provider’s independence means employees feel safer answering more truthfully. An external provider often has subject matter expertise to help interpret the findings.</w:t>
      </w:r>
    </w:p>
    <w:p w14:paraId="47E7E603" w14:textId="3DA24A97" w:rsidR="004B6649" w:rsidRPr="00C65E74" w:rsidRDefault="001A3BC3" w:rsidP="4A5B276E">
      <w:pPr>
        <w:pStyle w:val="ListParagraph"/>
        <w:numPr>
          <w:ilvl w:val="0"/>
          <w:numId w:val="57"/>
        </w:numPr>
        <w:rPr>
          <w:szCs w:val="24"/>
        </w:rPr>
      </w:pPr>
      <w:r>
        <w:rPr>
          <w:b/>
          <w:bCs/>
          <w:szCs w:val="24"/>
        </w:rPr>
        <w:t>Disadvantages:</w:t>
      </w:r>
      <w:r>
        <w:rPr>
          <w:szCs w:val="24"/>
        </w:rPr>
        <w:t xml:space="preserve"> </w:t>
      </w:r>
      <w:r w:rsidRPr="001A3BC3">
        <w:rPr>
          <w:szCs w:val="24"/>
        </w:rPr>
        <w:t>This approach may increase cyber security risks, although these can be minimised with appropriate checks and balances.</w:t>
      </w:r>
    </w:p>
    <w:p w14:paraId="72EDCDED" w14:textId="1D239CB2" w:rsidR="00BA0F8B" w:rsidRPr="0059218B" w:rsidRDefault="00BA0F8B" w:rsidP="00C65E74">
      <w:pPr>
        <w:pStyle w:val="Heading4"/>
      </w:pPr>
      <w:r w:rsidRPr="0059218B">
        <w:t xml:space="preserve">Try </w:t>
      </w:r>
      <w:r w:rsidR="002F0148" w:rsidRPr="0059218B">
        <w:t>combining approaches</w:t>
      </w:r>
    </w:p>
    <w:p w14:paraId="441E3930" w14:textId="00635785" w:rsidR="0012429A" w:rsidRPr="0059218B" w:rsidRDefault="00CD0B09" w:rsidP="00BA0F8B">
      <w:r>
        <w:t>As</w:t>
      </w:r>
      <w:r w:rsidRPr="0059218B">
        <w:t xml:space="preserve"> </w:t>
      </w:r>
      <w:r w:rsidR="00132873">
        <w:t>HR</w:t>
      </w:r>
      <w:r w:rsidR="009746A7">
        <w:t xml:space="preserve"> information</w:t>
      </w:r>
      <w:r w:rsidR="00132873">
        <w:t xml:space="preserve"> systems</w:t>
      </w:r>
      <w:r w:rsidR="00132873" w:rsidRPr="0059218B">
        <w:t xml:space="preserve"> </w:t>
      </w:r>
      <w:r w:rsidR="00DF180F" w:rsidRPr="0059218B">
        <w:t xml:space="preserve">and </w:t>
      </w:r>
      <w:r w:rsidR="00795B45" w:rsidRPr="0059218B">
        <w:t>s</w:t>
      </w:r>
      <w:r w:rsidR="00DF180F" w:rsidRPr="0059218B">
        <w:t>urvey</w:t>
      </w:r>
      <w:r>
        <w:t>s</w:t>
      </w:r>
      <w:r w:rsidR="00DF180F" w:rsidRPr="0059218B">
        <w:t xml:space="preserve"> have different limitations</w:t>
      </w:r>
      <w:r w:rsidR="00BA0F8B" w:rsidRPr="0059218B">
        <w:t xml:space="preserve">, many organisations use both to inform their D&amp;I work. </w:t>
      </w:r>
      <w:r>
        <w:t>Consider combining methods, such as by</w:t>
      </w:r>
      <w:r w:rsidR="0012429A" w:rsidRPr="0059218B">
        <w:t xml:space="preserve">: </w:t>
      </w:r>
    </w:p>
    <w:p w14:paraId="5BEB3E9F" w14:textId="1B77E06C" w:rsidR="0012429A" w:rsidRPr="0059218B" w:rsidRDefault="00CD0B09" w:rsidP="00337E92">
      <w:pPr>
        <w:pStyle w:val="ListParagraph"/>
        <w:numPr>
          <w:ilvl w:val="0"/>
          <w:numId w:val="39"/>
        </w:numPr>
        <w:ind w:left="714" w:hanging="357"/>
        <w:contextualSpacing w:val="0"/>
      </w:pPr>
      <w:r>
        <w:t xml:space="preserve">regularly </w:t>
      </w:r>
      <w:r w:rsidR="00BA0F8B" w:rsidRPr="0059218B">
        <w:t xml:space="preserve">encouraging employees to </w:t>
      </w:r>
      <w:r>
        <w:t>complete or check</w:t>
      </w:r>
      <w:r w:rsidR="00BA0F8B" w:rsidRPr="0059218B">
        <w:t xml:space="preserve"> their demographic data in the HRIS</w:t>
      </w:r>
      <w:r w:rsidR="0012429A" w:rsidRPr="0059218B">
        <w:t>,</w:t>
      </w:r>
      <w:r w:rsidR="009B525D">
        <w:t xml:space="preserve"> and</w:t>
      </w:r>
    </w:p>
    <w:p w14:paraId="4C532C26" w14:textId="16DF079F" w:rsidR="00BA0F8B" w:rsidRPr="0059218B" w:rsidRDefault="150B919F" w:rsidP="41ED6CC6">
      <w:pPr>
        <w:pStyle w:val="ListParagraph"/>
        <w:numPr>
          <w:ilvl w:val="0"/>
          <w:numId w:val="39"/>
        </w:numPr>
        <w:ind w:left="714" w:hanging="357"/>
      </w:pPr>
      <w:r w:rsidRPr="41ED6CC6">
        <w:t xml:space="preserve">running an anonymous survey every 12 to 24 months to fill in the gaps.  </w:t>
      </w:r>
    </w:p>
    <w:p w14:paraId="0E2C15F6" w14:textId="7897C782" w:rsidR="00BA0F8B" w:rsidRDefault="150B919F" w:rsidP="4A5B276E">
      <w:r w:rsidRPr="41ED6CC6">
        <w:t xml:space="preserve">Over time this approach will build a more comprehensive picture of the D&amp;I state of play in your organisation, as employee trust grows and response rates increase. </w:t>
      </w:r>
    </w:p>
    <w:p w14:paraId="10360016" w14:textId="69B5DF57" w:rsidR="00C65E74" w:rsidRDefault="00C65E74" w:rsidP="00C65E74">
      <w:pPr>
        <w:pStyle w:val="Heading4"/>
      </w:pPr>
      <w:r>
        <w:t>Have you considered DCA’s Inclusive Employer Index?</w:t>
      </w:r>
    </w:p>
    <w:p w14:paraId="28069EC9" w14:textId="14926989" w:rsidR="00C65E74" w:rsidRDefault="00C65E74" w:rsidP="00C65E74">
      <w:r>
        <w:t xml:space="preserve">For organisations with limited internal resources, tools like DCA’s anonymous survey-based </w:t>
      </w:r>
      <w:hyperlink r:id="rId14" w:history="1">
        <w:r w:rsidRPr="00C65E74">
          <w:rPr>
            <w:rStyle w:val="Hyperlink"/>
          </w:rPr>
          <w:t>Inclusive Employer Index</w:t>
        </w:r>
      </w:hyperlink>
      <w:r>
        <w:t xml:space="preserve"> are a good solution.</w:t>
      </w:r>
    </w:p>
    <w:p w14:paraId="013B32FC" w14:textId="38A92600" w:rsidR="00BA0F8B" w:rsidRDefault="00C65E74" w:rsidP="00C65E74">
      <w:r>
        <w:t>Administered in partnership with Diversity Atlas, our comprehensive survey prioritises data security and removes the work of designing your own. Participation in the Inclusive Employer Index is open to both DCA member and non-member organisations.</w:t>
      </w:r>
    </w:p>
    <w:p w14:paraId="450E33C0" w14:textId="54937E3C" w:rsidR="00C65E74" w:rsidRDefault="00201F52" w:rsidP="00201F52">
      <w:pPr>
        <w:pStyle w:val="Heading4"/>
      </w:pPr>
      <w:r>
        <w:t>Leading practice tip: Remember that size matters when it comes to anonymity</w:t>
      </w:r>
    </w:p>
    <w:p w14:paraId="201C1A80" w14:textId="77777777" w:rsidR="00201F52" w:rsidRPr="0059218B" w:rsidRDefault="00201F52" w:rsidP="00201F52">
      <w:pPr>
        <w:spacing w:line="264" w:lineRule="auto"/>
      </w:pPr>
      <w:r w:rsidRPr="41ED6CC6">
        <w:rPr>
          <w:b/>
          <w:bCs/>
        </w:rPr>
        <w:t xml:space="preserve">Why? </w:t>
      </w:r>
      <w:r w:rsidRPr="41ED6CC6">
        <w:t xml:space="preserve">Smaller organisations (say, up to 100 employees) have a higher risk of employees being accidentally identified in anonymous D&amp;I surveys. </w:t>
      </w:r>
    </w:p>
    <w:p w14:paraId="71315FA9" w14:textId="77777777" w:rsidR="00201F52" w:rsidRPr="00E9733F" w:rsidRDefault="00201F52" w:rsidP="00201F52">
      <w:pPr>
        <w:spacing w:line="264" w:lineRule="auto"/>
      </w:pPr>
      <w:r w:rsidRPr="41ED6CC6">
        <w:t xml:space="preserve">For example, if an organisation only has one First Nations woman in a particular division, </w:t>
      </w:r>
      <w:r>
        <w:t xml:space="preserve">her responses could be easily traced in a </w:t>
      </w:r>
      <w:r w:rsidRPr="41ED6CC6">
        <w:t xml:space="preserve">survey </w:t>
      </w:r>
      <w:r>
        <w:t xml:space="preserve">that asks about </w:t>
      </w:r>
      <w:r w:rsidRPr="41ED6CC6">
        <w:t xml:space="preserve">diversity. </w:t>
      </w:r>
    </w:p>
    <w:p w14:paraId="0E2FDB52" w14:textId="77777777" w:rsidR="00201F52" w:rsidRPr="0059218B" w:rsidRDefault="00201F52" w:rsidP="00201F52">
      <w:pPr>
        <w:spacing w:line="264" w:lineRule="auto"/>
        <w:rPr>
          <w:szCs w:val="24"/>
        </w:rPr>
      </w:pPr>
      <w:r w:rsidRPr="0059218B">
        <w:rPr>
          <w:szCs w:val="24"/>
        </w:rPr>
        <w:t xml:space="preserve">This does not mean smaller organisations cannot </w:t>
      </w:r>
      <w:r>
        <w:rPr>
          <w:szCs w:val="24"/>
        </w:rPr>
        <w:t>collect</w:t>
      </w:r>
      <w:r w:rsidRPr="0059218B">
        <w:rPr>
          <w:szCs w:val="24"/>
        </w:rPr>
        <w:t xml:space="preserve"> this data</w:t>
      </w:r>
      <w:r>
        <w:rPr>
          <w:szCs w:val="24"/>
        </w:rPr>
        <w:t xml:space="preserve"> – it just requires a carefully considered</w:t>
      </w:r>
      <w:r w:rsidRPr="0059218B">
        <w:rPr>
          <w:szCs w:val="24"/>
        </w:rPr>
        <w:t xml:space="preserve"> approach. </w:t>
      </w:r>
    </w:p>
    <w:p w14:paraId="5CFD9541" w14:textId="77777777" w:rsidR="00201F52" w:rsidRDefault="00201F52" w:rsidP="00201F52">
      <w:pPr>
        <w:spacing w:line="264" w:lineRule="auto"/>
        <w:rPr>
          <w:b/>
          <w:bCs/>
          <w:szCs w:val="24"/>
        </w:rPr>
      </w:pPr>
      <w:r w:rsidRPr="0059218B">
        <w:rPr>
          <w:b/>
          <w:bCs/>
          <w:szCs w:val="24"/>
        </w:rPr>
        <w:t xml:space="preserve">How? </w:t>
      </w:r>
    </w:p>
    <w:p w14:paraId="0753CEDC" w14:textId="415BEDB6" w:rsidR="00201F52" w:rsidRPr="0059218B" w:rsidRDefault="00201F52" w:rsidP="00201F52">
      <w:pPr>
        <w:spacing w:line="264" w:lineRule="auto"/>
      </w:pPr>
      <w:r w:rsidRPr="41ED6CC6">
        <w:t>Option 1:</w:t>
      </w:r>
      <w:r w:rsidRPr="41ED6CC6">
        <w:rPr>
          <w:b/>
          <w:bCs/>
        </w:rPr>
        <w:t xml:space="preserve"> </w:t>
      </w:r>
      <w:r w:rsidRPr="41ED6CC6">
        <w:t xml:space="preserve">If your D&amp;I survey functionality allows, set an automatic minimum threshold for diversity </w:t>
      </w:r>
      <w:r>
        <w:t>cohorts in your D&amp;I survey</w:t>
      </w:r>
      <w:r w:rsidRPr="41ED6CC6">
        <w:t xml:space="preserve">. For example, </w:t>
      </w:r>
      <w:r>
        <w:t>only display (or report) data when there are</w:t>
      </w:r>
      <w:r w:rsidRPr="41ED6CC6">
        <w:t xml:space="preserve"> at least 10 or 20 Aboriginal and/or Torres Strait Islander respondents</w:t>
      </w:r>
      <w:r>
        <w:t xml:space="preserve">, ensuring no one can be identified due to small group sizes. </w:t>
      </w:r>
    </w:p>
    <w:p w14:paraId="35338525" w14:textId="77777777" w:rsidR="00201F52" w:rsidRPr="0059218B" w:rsidRDefault="00201F52" w:rsidP="00201F52">
      <w:pPr>
        <w:spacing w:line="264" w:lineRule="auto"/>
        <w:rPr>
          <w:szCs w:val="24"/>
        </w:rPr>
      </w:pPr>
      <w:r w:rsidRPr="0001475B">
        <w:rPr>
          <w:szCs w:val="24"/>
        </w:rPr>
        <w:t>Option 2:</w:t>
      </w:r>
      <w:r w:rsidRPr="0059218B">
        <w:rPr>
          <w:b/>
          <w:bCs/>
          <w:szCs w:val="24"/>
        </w:rPr>
        <w:t xml:space="preserve"> </w:t>
      </w:r>
      <w:r>
        <w:rPr>
          <w:szCs w:val="24"/>
        </w:rPr>
        <w:t>Use</w:t>
      </w:r>
      <w:r w:rsidRPr="0059218B">
        <w:rPr>
          <w:szCs w:val="24"/>
        </w:rPr>
        <w:t xml:space="preserve"> two separate surveys: </w:t>
      </w:r>
    </w:p>
    <w:p w14:paraId="1487B143" w14:textId="77777777" w:rsidR="00201F52" w:rsidRPr="0059218B" w:rsidRDefault="00201F52" w:rsidP="00201F52">
      <w:pPr>
        <w:pStyle w:val="ListParagraph"/>
        <w:numPr>
          <w:ilvl w:val="0"/>
          <w:numId w:val="8"/>
        </w:numPr>
        <w:spacing w:line="264" w:lineRule="auto"/>
        <w:contextualSpacing w:val="0"/>
      </w:pPr>
      <w:r>
        <w:rPr>
          <w:szCs w:val="24"/>
        </w:rPr>
        <w:t>R</w:t>
      </w:r>
      <w:r w:rsidRPr="0059218B">
        <w:rPr>
          <w:szCs w:val="24"/>
        </w:rPr>
        <w:t xml:space="preserve">un an anonymous diversity survey </w:t>
      </w:r>
      <w:r>
        <w:rPr>
          <w:szCs w:val="24"/>
        </w:rPr>
        <w:t xml:space="preserve">focused on diversity data </w:t>
      </w:r>
      <w:r w:rsidRPr="0059218B">
        <w:rPr>
          <w:szCs w:val="24"/>
        </w:rPr>
        <w:t xml:space="preserve">(e.g. </w:t>
      </w:r>
      <w:r>
        <w:rPr>
          <w:szCs w:val="24"/>
        </w:rPr>
        <w:t>“W</w:t>
      </w:r>
      <w:r w:rsidRPr="0059218B">
        <w:rPr>
          <w:szCs w:val="24"/>
        </w:rPr>
        <w:t>hat is your cultural background?</w:t>
      </w:r>
      <w:r>
        <w:rPr>
          <w:szCs w:val="24"/>
        </w:rPr>
        <w:t>”</w:t>
      </w:r>
      <w:r w:rsidRPr="0059218B">
        <w:rPr>
          <w:szCs w:val="24"/>
        </w:rPr>
        <w:t>)</w:t>
      </w:r>
    </w:p>
    <w:p w14:paraId="34A8227E" w14:textId="77777777" w:rsidR="00201F52" w:rsidRPr="0059218B" w:rsidRDefault="00201F52" w:rsidP="00201F52">
      <w:pPr>
        <w:pStyle w:val="ListParagraph"/>
        <w:numPr>
          <w:ilvl w:val="0"/>
          <w:numId w:val="8"/>
        </w:numPr>
        <w:spacing w:line="264" w:lineRule="auto"/>
        <w:contextualSpacing w:val="0"/>
      </w:pPr>
      <w:r>
        <w:rPr>
          <w:szCs w:val="24"/>
        </w:rPr>
        <w:t xml:space="preserve">Also </w:t>
      </w:r>
      <w:r w:rsidRPr="0059218B">
        <w:rPr>
          <w:szCs w:val="24"/>
        </w:rPr>
        <w:t>run a</w:t>
      </w:r>
      <w:r>
        <w:rPr>
          <w:szCs w:val="24"/>
        </w:rPr>
        <w:t xml:space="preserve"> separate </w:t>
      </w:r>
      <w:r w:rsidRPr="0059218B">
        <w:rPr>
          <w:szCs w:val="24"/>
        </w:rPr>
        <w:t xml:space="preserve">anonymous </w:t>
      </w:r>
      <w:r>
        <w:rPr>
          <w:szCs w:val="24"/>
        </w:rPr>
        <w:t xml:space="preserve">survey on </w:t>
      </w:r>
      <w:r w:rsidRPr="0059218B">
        <w:rPr>
          <w:szCs w:val="24"/>
        </w:rPr>
        <w:t xml:space="preserve">inclusion or engagement (e.g. </w:t>
      </w:r>
      <w:r>
        <w:rPr>
          <w:szCs w:val="24"/>
        </w:rPr>
        <w:t>“T</w:t>
      </w:r>
      <w:r w:rsidRPr="0059218B">
        <w:rPr>
          <w:szCs w:val="24"/>
        </w:rPr>
        <w:t xml:space="preserve">o what extent do you agree or disagree with the </w:t>
      </w:r>
      <w:r>
        <w:rPr>
          <w:szCs w:val="24"/>
        </w:rPr>
        <w:t xml:space="preserve">following </w:t>
      </w:r>
      <w:r w:rsidRPr="0059218B">
        <w:rPr>
          <w:szCs w:val="24"/>
        </w:rPr>
        <w:t>statement</w:t>
      </w:r>
      <w:r>
        <w:rPr>
          <w:szCs w:val="24"/>
        </w:rPr>
        <w:t>?</w:t>
      </w:r>
      <w:r w:rsidRPr="0059218B">
        <w:rPr>
          <w:szCs w:val="24"/>
        </w:rPr>
        <w:t xml:space="preserve"> ‘My immediate manager treats all employees with respect’</w:t>
      </w:r>
      <w:r>
        <w:rPr>
          <w:szCs w:val="24"/>
        </w:rPr>
        <w:t>”).</w:t>
      </w:r>
      <w:r w:rsidRPr="0059218B">
        <w:rPr>
          <w:szCs w:val="24"/>
        </w:rPr>
        <w:t xml:space="preserve"> </w:t>
      </w:r>
    </w:p>
    <w:p w14:paraId="28D06B04" w14:textId="31401CBB" w:rsidR="00201F52" w:rsidRPr="00201F52" w:rsidRDefault="00201F52" w:rsidP="00201F52">
      <w:r w:rsidRPr="5DF99F6C">
        <w:rPr>
          <w:b/>
        </w:rPr>
        <w:t>Remember!</w:t>
      </w:r>
      <w:r w:rsidRPr="5DF99F6C">
        <w:t xml:space="preserve"> Option 2 means you would not be able to disaggregate and compare the inclusion experiences of different diversity groups (e.g. Aboriginal and/or Torres Strait Islander employees versus non-Indigenous employees). You would only be able to report on overall inclusion experiences, not broken down by diversity group. By taking a more thoughtful approach to data collection, you help protect the privacy of individuals, particularly in smaller organisations where anonymity is harder to maintain.</w:t>
      </w:r>
    </w:p>
    <w:p w14:paraId="1E189539" w14:textId="073532D1" w:rsidR="00B03D17" w:rsidRDefault="00201F52" w:rsidP="00201F52">
      <w:pPr>
        <w:pStyle w:val="Heading4"/>
      </w:pPr>
      <w:r>
        <w:t>Leading practice tip: Check question functionality with your HRIS provider</w:t>
      </w:r>
    </w:p>
    <w:p w14:paraId="58291B73" w14:textId="77777777" w:rsidR="00201F52" w:rsidRDefault="00201F52" w:rsidP="00201F52">
      <w:pPr>
        <w:spacing w:line="264" w:lineRule="auto"/>
      </w:pPr>
      <w:r w:rsidRPr="41ED6CC6">
        <w:rPr>
          <w:b/>
          <w:bCs/>
        </w:rPr>
        <w:t xml:space="preserve">Why? </w:t>
      </w:r>
      <w:r w:rsidRPr="41ED6CC6">
        <w:t>Some diversity questions should allow employees to select more than one response (known as “multi-select”). This ensures the data is more accurate and inclusive. For example, between 30% and 70% of employees will identify with multiple cultural backgrounds.</w:t>
      </w:r>
      <w:r w:rsidRPr="41ED6CC6">
        <w:rPr>
          <w:rStyle w:val="EndnoteReference"/>
        </w:rPr>
        <w:endnoteReference w:id="9"/>
      </w:r>
      <w:r w:rsidRPr="41ED6CC6">
        <w:t xml:space="preserve"> Yet some HRIS providers do not offer this functionality. </w:t>
      </w:r>
    </w:p>
    <w:p w14:paraId="3C0EFF97" w14:textId="77777777" w:rsidR="00201F52" w:rsidRPr="0059218B" w:rsidRDefault="00201F52" w:rsidP="00201F52">
      <w:pPr>
        <w:spacing w:line="264" w:lineRule="auto"/>
      </w:pPr>
      <w:r w:rsidRPr="41ED6CC6">
        <w:t xml:space="preserve">Further, systems might only allow 5 or 6 response options (i.e. they have a limited number of fields). This reduces how meaningful and inclusive your questions and response options can be. For example, employees who have Asian origins do not typically identify as “Asian”. It is much more respectful and inclusive to enable them to select their specific ethnicity (e.g. Chinese, Malay or Japanese). </w:t>
      </w:r>
    </w:p>
    <w:p w14:paraId="42B1FF4D" w14:textId="26702484" w:rsidR="00201F52" w:rsidRPr="00201F52" w:rsidRDefault="00201F52" w:rsidP="00201F52">
      <w:r w:rsidRPr="0059218B">
        <w:rPr>
          <w:b/>
          <w:bCs/>
          <w:szCs w:val="24"/>
        </w:rPr>
        <w:t xml:space="preserve">How? </w:t>
      </w:r>
      <w:r w:rsidRPr="0059218B">
        <w:rPr>
          <w:szCs w:val="24"/>
        </w:rPr>
        <w:t xml:space="preserve">If you </w:t>
      </w:r>
      <w:r>
        <w:rPr>
          <w:szCs w:val="24"/>
        </w:rPr>
        <w:t>already</w:t>
      </w:r>
      <w:r w:rsidRPr="0059218B">
        <w:rPr>
          <w:szCs w:val="24"/>
        </w:rPr>
        <w:t xml:space="preserve"> have an HRIS, check the functionality of the question</w:t>
      </w:r>
      <w:r>
        <w:rPr>
          <w:szCs w:val="24"/>
        </w:rPr>
        <w:t>s</w:t>
      </w:r>
      <w:r w:rsidRPr="0059218B">
        <w:rPr>
          <w:szCs w:val="24"/>
        </w:rPr>
        <w:t xml:space="preserve"> and response options with your provider. If you are sourcing a new provider or looking to change, check with </w:t>
      </w:r>
      <w:r>
        <w:rPr>
          <w:szCs w:val="24"/>
        </w:rPr>
        <w:t xml:space="preserve">each </w:t>
      </w:r>
      <w:r w:rsidRPr="0059218B">
        <w:rPr>
          <w:szCs w:val="24"/>
        </w:rPr>
        <w:t xml:space="preserve">prospective provider about </w:t>
      </w:r>
      <w:r>
        <w:rPr>
          <w:szCs w:val="24"/>
        </w:rPr>
        <w:t>their system’s</w:t>
      </w:r>
      <w:r w:rsidRPr="0059218B">
        <w:rPr>
          <w:szCs w:val="24"/>
        </w:rPr>
        <w:t xml:space="preserve"> functionality.</w:t>
      </w:r>
    </w:p>
    <w:p w14:paraId="7D1B46B8" w14:textId="32E177E6" w:rsidR="00D56E8A" w:rsidRPr="0059218B" w:rsidRDefault="00D56E8A" w:rsidP="00EC11B9">
      <w:pPr>
        <w:pStyle w:val="Heading3"/>
      </w:pPr>
      <w:r w:rsidRPr="0059218B">
        <w:t xml:space="preserve">Decide </w:t>
      </w:r>
      <w:r w:rsidRPr="006C2187">
        <w:rPr>
          <w:u w:val="single"/>
        </w:rPr>
        <w:t>when</w:t>
      </w:r>
      <w:r w:rsidRPr="0059218B">
        <w:t xml:space="preserve"> you will collect D&amp;I data </w:t>
      </w:r>
    </w:p>
    <w:p w14:paraId="1A750D43" w14:textId="6456D578" w:rsidR="00D56E8A" w:rsidRPr="0059218B" w:rsidRDefault="00D56E8A" w:rsidP="00D56E8A">
      <w:pPr>
        <w:rPr>
          <w:szCs w:val="24"/>
        </w:rPr>
      </w:pPr>
      <w:r w:rsidRPr="0059218B">
        <w:rPr>
          <w:b/>
          <w:bCs/>
          <w:szCs w:val="24"/>
        </w:rPr>
        <w:t>Why?</w:t>
      </w:r>
      <w:r w:rsidRPr="0059218B">
        <w:rPr>
          <w:szCs w:val="24"/>
        </w:rPr>
        <w:t xml:space="preserve"> Sometimes how an employee responds to diversity questions changes over time as their circumstances</w:t>
      </w:r>
      <w:r>
        <w:rPr>
          <w:szCs w:val="24"/>
        </w:rPr>
        <w:t xml:space="preserve"> shift or their </w:t>
      </w:r>
      <w:r w:rsidRPr="0059218B">
        <w:rPr>
          <w:szCs w:val="24"/>
        </w:rPr>
        <w:t>identity develop</w:t>
      </w:r>
      <w:r>
        <w:rPr>
          <w:szCs w:val="24"/>
        </w:rPr>
        <w:t>s</w:t>
      </w:r>
      <w:r w:rsidRPr="0059218B">
        <w:rPr>
          <w:szCs w:val="24"/>
        </w:rPr>
        <w:t>. Some areas of diversity (</w:t>
      </w:r>
      <w:r>
        <w:rPr>
          <w:szCs w:val="24"/>
        </w:rPr>
        <w:t>such as</w:t>
      </w:r>
      <w:r w:rsidRPr="0059218B">
        <w:rPr>
          <w:szCs w:val="24"/>
        </w:rPr>
        <w:t xml:space="preserve"> caring responsibilities</w:t>
      </w:r>
      <w:r>
        <w:rPr>
          <w:szCs w:val="24"/>
        </w:rPr>
        <w:t xml:space="preserve"> and</w:t>
      </w:r>
      <w:r w:rsidRPr="0059218B">
        <w:rPr>
          <w:szCs w:val="24"/>
        </w:rPr>
        <w:t xml:space="preserve"> disability status) can change substantially. So, a once-only snapshot of workforce diversity is unlikely to accurately reflect your workforce mix or needs over time. </w:t>
      </w:r>
    </w:p>
    <w:p w14:paraId="178A861B" w14:textId="66316AD1" w:rsidR="00D56E8A" w:rsidRPr="0059218B" w:rsidRDefault="150B919F" w:rsidP="00D56E8A">
      <w:r w:rsidRPr="41ED6CC6">
        <w:t xml:space="preserve">How employees respond to </w:t>
      </w:r>
      <w:r w:rsidR="00A91D04">
        <w:t xml:space="preserve">questions about </w:t>
      </w:r>
      <w:r w:rsidRPr="41ED6CC6">
        <w:t xml:space="preserve">inclusion and engagement experiences can also change over time, especially if your organisation has </w:t>
      </w:r>
      <w:r w:rsidR="00D240EF">
        <w:t>invested sign</w:t>
      </w:r>
      <w:r w:rsidR="000F7714">
        <w:t>ificant effort into</w:t>
      </w:r>
      <w:r w:rsidRPr="41ED6CC6">
        <w:t xml:space="preserve"> D&amp;I </w:t>
      </w:r>
      <w:r w:rsidR="000F7714">
        <w:t xml:space="preserve">initiatives </w:t>
      </w:r>
      <w:r w:rsidRPr="41ED6CC6">
        <w:t xml:space="preserve">or has </w:t>
      </w:r>
      <w:r w:rsidR="006245E9">
        <w:t>gone through</w:t>
      </w:r>
      <w:r w:rsidR="000F7714" w:rsidRPr="41ED6CC6">
        <w:t xml:space="preserve"> </w:t>
      </w:r>
      <w:r w:rsidRPr="41ED6CC6">
        <w:t xml:space="preserve">a period of change. </w:t>
      </w:r>
    </w:p>
    <w:p w14:paraId="38476737" w14:textId="273D3979" w:rsidR="00D56E8A" w:rsidRPr="0059218B" w:rsidRDefault="00D56E8A" w:rsidP="00D56E8A">
      <w:pPr>
        <w:rPr>
          <w:szCs w:val="24"/>
        </w:rPr>
      </w:pPr>
      <w:r w:rsidRPr="0059218B">
        <w:rPr>
          <w:b/>
          <w:bCs/>
          <w:szCs w:val="24"/>
        </w:rPr>
        <w:t xml:space="preserve">How? </w:t>
      </w:r>
      <w:r w:rsidRPr="0059218B">
        <w:rPr>
          <w:szCs w:val="24"/>
        </w:rPr>
        <w:t>Collect data at regular intervals (e.g. yearly</w:t>
      </w:r>
      <w:r>
        <w:rPr>
          <w:szCs w:val="24"/>
        </w:rPr>
        <w:t xml:space="preserve"> or two-yearly</w:t>
      </w:r>
      <w:r w:rsidRPr="0059218B">
        <w:rPr>
          <w:szCs w:val="24"/>
        </w:rPr>
        <w:t xml:space="preserve">) so your organisation can track its progress </w:t>
      </w:r>
      <w:r>
        <w:rPr>
          <w:szCs w:val="24"/>
        </w:rPr>
        <w:t xml:space="preserve">in </w:t>
      </w:r>
      <w:r w:rsidRPr="0059218B">
        <w:rPr>
          <w:szCs w:val="24"/>
        </w:rPr>
        <w:t xml:space="preserve">creating a more diverse and inclusive workplace – at all levels and in all organisational areas. </w:t>
      </w:r>
    </w:p>
    <w:p w14:paraId="6EBB27D6" w14:textId="18CCF532" w:rsidR="00C5291F" w:rsidRPr="0059218B" w:rsidRDefault="00D56E8A" w:rsidP="00EC11B9">
      <w:pPr>
        <w:pStyle w:val="Heading3"/>
      </w:pPr>
      <w:r>
        <w:t>Be</w:t>
      </w:r>
      <w:r w:rsidRPr="0059218B">
        <w:t xml:space="preserve"> </w:t>
      </w:r>
      <w:r w:rsidR="00C5291F" w:rsidRPr="0059218B">
        <w:t xml:space="preserve">proactive </w:t>
      </w:r>
      <w:r>
        <w:t>in protecting D&amp;I data</w:t>
      </w:r>
    </w:p>
    <w:p w14:paraId="1CF42592" w14:textId="0B9A9BDE" w:rsidR="00C5291F" w:rsidRPr="0059218B" w:rsidRDefault="150B919F" w:rsidP="00C5291F">
      <w:r w:rsidRPr="41ED6CC6">
        <w:rPr>
          <w:b/>
          <w:bCs/>
        </w:rPr>
        <w:t xml:space="preserve">Why? </w:t>
      </w:r>
      <w:r w:rsidRPr="41ED6CC6">
        <w:t xml:space="preserve">Employees are more likely to share diversity information if they are confident their employer prioritises secure storage and management of their personal information. The increasing occurrence of data breaches and similar incidents also means that employers need to be proactive, vigilant and responsive about data security. </w:t>
      </w:r>
    </w:p>
    <w:p w14:paraId="2F56E2DE" w14:textId="0C2878AF" w:rsidR="00C5291F" w:rsidRPr="0059218B" w:rsidRDefault="00C5291F" w:rsidP="00C5291F">
      <w:pPr>
        <w:rPr>
          <w:szCs w:val="24"/>
        </w:rPr>
      </w:pPr>
      <w:r w:rsidRPr="0059218B">
        <w:rPr>
          <w:b/>
          <w:bCs/>
          <w:szCs w:val="24"/>
        </w:rPr>
        <w:t xml:space="preserve">How? </w:t>
      </w:r>
      <w:r w:rsidRPr="0059218B">
        <w:rPr>
          <w:szCs w:val="24"/>
        </w:rPr>
        <w:t>Develop a formal data management policy</w:t>
      </w:r>
      <w:r w:rsidR="00484753" w:rsidRPr="0059218B">
        <w:rPr>
          <w:szCs w:val="24"/>
        </w:rPr>
        <w:t xml:space="preserve"> and </w:t>
      </w:r>
      <w:r w:rsidR="009904AD">
        <w:rPr>
          <w:szCs w:val="24"/>
        </w:rPr>
        <w:t xml:space="preserve">robust </w:t>
      </w:r>
      <w:r w:rsidR="00484753" w:rsidRPr="0059218B">
        <w:rPr>
          <w:szCs w:val="24"/>
        </w:rPr>
        <w:t>process</w:t>
      </w:r>
      <w:r w:rsidR="009904AD">
        <w:rPr>
          <w:szCs w:val="24"/>
        </w:rPr>
        <w:t>es</w:t>
      </w:r>
      <w:r w:rsidRPr="0059218B">
        <w:rPr>
          <w:szCs w:val="24"/>
        </w:rPr>
        <w:t xml:space="preserve"> for </w:t>
      </w:r>
      <w:r w:rsidR="009904AD">
        <w:rPr>
          <w:szCs w:val="24"/>
        </w:rPr>
        <w:t>storing and protecting</w:t>
      </w:r>
      <w:r w:rsidRPr="0059218B">
        <w:rPr>
          <w:szCs w:val="24"/>
        </w:rPr>
        <w:t xml:space="preserve"> personal data. Th</w:t>
      </w:r>
      <w:r w:rsidR="009904AD">
        <w:rPr>
          <w:szCs w:val="24"/>
        </w:rPr>
        <w:t>e</w:t>
      </w:r>
      <w:r w:rsidRPr="0059218B">
        <w:rPr>
          <w:szCs w:val="24"/>
        </w:rPr>
        <w:t xml:space="preserve"> policy</w:t>
      </w:r>
      <w:r w:rsidR="00D8435F" w:rsidRPr="0059218B">
        <w:rPr>
          <w:szCs w:val="24"/>
        </w:rPr>
        <w:t xml:space="preserve"> </w:t>
      </w:r>
      <w:r w:rsidR="00490E88" w:rsidRPr="0059218B">
        <w:rPr>
          <w:szCs w:val="24"/>
        </w:rPr>
        <w:t>should</w:t>
      </w:r>
      <w:r w:rsidR="009904AD">
        <w:rPr>
          <w:szCs w:val="24"/>
        </w:rPr>
        <w:t xml:space="preserve"> explain that sharing of data is voluntary a</w:t>
      </w:r>
      <w:r w:rsidR="009D2355">
        <w:rPr>
          <w:szCs w:val="24"/>
        </w:rPr>
        <w:t>s well as</w:t>
      </w:r>
      <w:r w:rsidRPr="0059218B">
        <w:rPr>
          <w:szCs w:val="24"/>
        </w:rPr>
        <w:t>:</w:t>
      </w:r>
    </w:p>
    <w:p w14:paraId="6F894624" w14:textId="77777777" w:rsidR="000150BC" w:rsidRPr="0059218B" w:rsidRDefault="000150BC" w:rsidP="00337E92">
      <w:pPr>
        <w:pStyle w:val="ListParagraph"/>
        <w:numPr>
          <w:ilvl w:val="0"/>
          <w:numId w:val="4"/>
        </w:numPr>
        <w:ind w:left="714" w:hanging="357"/>
        <w:contextualSpacing w:val="0"/>
        <w:rPr>
          <w:szCs w:val="24"/>
        </w:rPr>
      </w:pPr>
      <w:r w:rsidRPr="0059218B">
        <w:rPr>
          <w:szCs w:val="24"/>
        </w:rPr>
        <w:t xml:space="preserve">what employee information is collected </w:t>
      </w:r>
    </w:p>
    <w:p w14:paraId="3EC54358" w14:textId="364C68E9" w:rsidR="00C5291F" w:rsidRPr="0059218B" w:rsidRDefault="00C5291F" w:rsidP="00337E92">
      <w:pPr>
        <w:pStyle w:val="ListParagraph"/>
        <w:numPr>
          <w:ilvl w:val="0"/>
          <w:numId w:val="4"/>
        </w:numPr>
        <w:ind w:left="714" w:hanging="357"/>
        <w:contextualSpacing w:val="0"/>
        <w:rPr>
          <w:szCs w:val="24"/>
        </w:rPr>
      </w:pPr>
      <w:r w:rsidRPr="0059218B">
        <w:rPr>
          <w:szCs w:val="24"/>
        </w:rPr>
        <w:t xml:space="preserve">why </w:t>
      </w:r>
      <w:r w:rsidR="000150BC" w:rsidRPr="0059218B">
        <w:rPr>
          <w:szCs w:val="24"/>
        </w:rPr>
        <w:t>the data is collected</w:t>
      </w:r>
      <w:r w:rsidR="00D6020B" w:rsidRPr="0059218B">
        <w:rPr>
          <w:szCs w:val="24"/>
        </w:rPr>
        <w:t xml:space="preserve"> </w:t>
      </w:r>
    </w:p>
    <w:p w14:paraId="60F6423E" w14:textId="0D5638E2" w:rsidR="00C00DAC" w:rsidRPr="0059218B" w:rsidRDefault="00C5291F" w:rsidP="00337E92">
      <w:pPr>
        <w:pStyle w:val="ListParagraph"/>
        <w:numPr>
          <w:ilvl w:val="0"/>
          <w:numId w:val="4"/>
        </w:numPr>
        <w:ind w:left="714" w:hanging="357"/>
        <w:contextualSpacing w:val="0"/>
        <w:rPr>
          <w:szCs w:val="24"/>
        </w:rPr>
      </w:pPr>
      <w:r w:rsidRPr="0059218B">
        <w:rPr>
          <w:szCs w:val="24"/>
        </w:rPr>
        <w:t xml:space="preserve">how </w:t>
      </w:r>
      <w:r w:rsidR="009904AD">
        <w:rPr>
          <w:szCs w:val="24"/>
        </w:rPr>
        <w:t xml:space="preserve">the </w:t>
      </w:r>
      <w:r w:rsidR="00D6020B" w:rsidRPr="0059218B">
        <w:rPr>
          <w:szCs w:val="24"/>
        </w:rPr>
        <w:t>data</w:t>
      </w:r>
      <w:r w:rsidRPr="0059218B">
        <w:rPr>
          <w:szCs w:val="24"/>
        </w:rPr>
        <w:t xml:space="preserve"> </w:t>
      </w:r>
      <w:r w:rsidR="009904AD">
        <w:rPr>
          <w:szCs w:val="24"/>
        </w:rPr>
        <w:t>is</w:t>
      </w:r>
      <w:r w:rsidRPr="0059218B">
        <w:rPr>
          <w:szCs w:val="24"/>
        </w:rPr>
        <w:t xml:space="preserve"> used</w:t>
      </w:r>
      <w:r w:rsidR="00D6020B" w:rsidRPr="0059218B">
        <w:rPr>
          <w:szCs w:val="24"/>
        </w:rPr>
        <w:t xml:space="preserve"> and reported on</w:t>
      </w:r>
    </w:p>
    <w:p w14:paraId="228F3D31" w14:textId="18FDB490" w:rsidR="000E0757" w:rsidRPr="0059218B" w:rsidRDefault="00C00DAC" w:rsidP="00337E92">
      <w:pPr>
        <w:pStyle w:val="ListParagraph"/>
        <w:numPr>
          <w:ilvl w:val="0"/>
          <w:numId w:val="4"/>
        </w:numPr>
        <w:ind w:left="714" w:hanging="357"/>
        <w:contextualSpacing w:val="0"/>
        <w:rPr>
          <w:szCs w:val="24"/>
        </w:rPr>
      </w:pPr>
      <w:r w:rsidRPr="0059218B">
        <w:rPr>
          <w:szCs w:val="24"/>
        </w:rPr>
        <w:t xml:space="preserve">where </w:t>
      </w:r>
      <w:r w:rsidR="009904AD">
        <w:rPr>
          <w:szCs w:val="24"/>
        </w:rPr>
        <w:t xml:space="preserve">the </w:t>
      </w:r>
      <w:r w:rsidRPr="0059218B">
        <w:rPr>
          <w:szCs w:val="24"/>
        </w:rPr>
        <w:t xml:space="preserve">data </w:t>
      </w:r>
      <w:r w:rsidR="009904AD">
        <w:rPr>
          <w:szCs w:val="24"/>
        </w:rPr>
        <w:t>is</w:t>
      </w:r>
      <w:r w:rsidRPr="0059218B">
        <w:rPr>
          <w:szCs w:val="24"/>
        </w:rPr>
        <w:t xml:space="preserve"> </w:t>
      </w:r>
      <w:r w:rsidR="00C5291F" w:rsidRPr="0059218B">
        <w:rPr>
          <w:szCs w:val="24"/>
        </w:rPr>
        <w:t>stored</w:t>
      </w:r>
      <w:r w:rsidRPr="0059218B">
        <w:rPr>
          <w:szCs w:val="24"/>
        </w:rPr>
        <w:t xml:space="preserve"> and </w:t>
      </w:r>
      <w:r w:rsidR="009779CF" w:rsidRPr="0059218B">
        <w:rPr>
          <w:szCs w:val="24"/>
        </w:rPr>
        <w:t xml:space="preserve">for </w:t>
      </w:r>
      <w:r w:rsidRPr="0059218B">
        <w:rPr>
          <w:szCs w:val="24"/>
        </w:rPr>
        <w:t xml:space="preserve">how long </w:t>
      </w:r>
      <w:r w:rsidR="000E0757" w:rsidRPr="0059218B">
        <w:rPr>
          <w:szCs w:val="24"/>
        </w:rPr>
        <w:t xml:space="preserve"> </w:t>
      </w:r>
    </w:p>
    <w:p w14:paraId="4D529061" w14:textId="338C4471" w:rsidR="00FC1E2C" w:rsidRPr="0059218B" w:rsidRDefault="00C5291F" w:rsidP="00337E92">
      <w:pPr>
        <w:pStyle w:val="ListParagraph"/>
        <w:numPr>
          <w:ilvl w:val="0"/>
          <w:numId w:val="4"/>
        </w:numPr>
        <w:ind w:left="714" w:hanging="357"/>
        <w:contextualSpacing w:val="0"/>
        <w:rPr>
          <w:szCs w:val="24"/>
        </w:rPr>
      </w:pPr>
      <w:r w:rsidRPr="0059218B">
        <w:rPr>
          <w:szCs w:val="24"/>
        </w:rPr>
        <w:t>who</w:t>
      </w:r>
      <w:r w:rsidR="00FC1E2C" w:rsidRPr="0059218B">
        <w:rPr>
          <w:szCs w:val="24"/>
        </w:rPr>
        <w:t xml:space="preserve"> is authorised to </w:t>
      </w:r>
      <w:r w:rsidRPr="0059218B">
        <w:rPr>
          <w:szCs w:val="24"/>
        </w:rPr>
        <w:t>access the data</w:t>
      </w:r>
    </w:p>
    <w:p w14:paraId="61C5D6C6" w14:textId="041EBB22" w:rsidR="00EB0BB9" w:rsidRPr="0059218B" w:rsidRDefault="00EB0BB9" w:rsidP="00337E92">
      <w:pPr>
        <w:pStyle w:val="ListParagraph"/>
        <w:numPr>
          <w:ilvl w:val="0"/>
          <w:numId w:val="4"/>
        </w:numPr>
        <w:ind w:left="714" w:hanging="357"/>
        <w:contextualSpacing w:val="0"/>
        <w:rPr>
          <w:szCs w:val="24"/>
        </w:rPr>
      </w:pPr>
      <w:r w:rsidRPr="0059218B">
        <w:rPr>
          <w:szCs w:val="24"/>
        </w:rPr>
        <w:t>what happens if the policy</w:t>
      </w:r>
      <w:r w:rsidR="009904AD">
        <w:rPr>
          <w:szCs w:val="24"/>
        </w:rPr>
        <w:t xml:space="preserve"> is breached</w:t>
      </w:r>
    </w:p>
    <w:p w14:paraId="4F0AE49F" w14:textId="37364854" w:rsidR="00C5291F" w:rsidRPr="0059218B" w:rsidRDefault="009904AD" w:rsidP="00337E92">
      <w:pPr>
        <w:pStyle w:val="ListParagraph"/>
        <w:numPr>
          <w:ilvl w:val="0"/>
          <w:numId w:val="4"/>
        </w:numPr>
        <w:ind w:left="714" w:hanging="357"/>
        <w:contextualSpacing w:val="0"/>
        <w:rPr>
          <w:szCs w:val="24"/>
        </w:rPr>
      </w:pPr>
      <w:r>
        <w:rPr>
          <w:szCs w:val="24"/>
        </w:rPr>
        <w:t>what</w:t>
      </w:r>
      <w:r w:rsidR="00C5291F" w:rsidRPr="0059218B">
        <w:rPr>
          <w:szCs w:val="24"/>
        </w:rPr>
        <w:t xml:space="preserve"> legal obligations </w:t>
      </w:r>
      <w:r>
        <w:rPr>
          <w:szCs w:val="24"/>
        </w:rPr>
        <w:t>apply under t</w:t>
      </w:r>
      <w:r w:rsidR="00C5291F" w:rsidRPr="0059218B">
        <w:rPr>
          <w:szCs w:val="24"/>
        </w:rPr>
        <w:t xml:space="preserve">he </w:t>
      </w:r>
      <w:r w:rsidR="00C5291F" w:rsidRPr="00FB09F2">
        <w:rPr>
          <w:i/>
          <w:iCs/>
          <w:szCs w:val="24"/>
        </w:rPr>
        <w:t>Privacy Act 1988</w:t>
      </w:r>
      <w:r w:rsidR="00C5291F" w:rsidRPr="0059218B">
        <w:rPr>
          <w:szCs w:val="24"/>
        </w:rPr>
        <w:t>.</w:t>
      </w:r>
    </w:p>
    <w:p w14:paraId="6FF1784F" w14:textId="7D688387" w:rsidR="00C5291F" w:rsidRPr="0059218B" w:rsidRDefault="009904AD" w:rsidP="00C5291F">
      <w:pPr>
        <w:rPr>
          <w:szCs w:val="24"/>
        </w:rPr>
      </w:pPr>
      <w:r>
        <w:rPr>
          <w:szCs w:val="24"/>
        </w:rPr>
        <w:t>Also consider these factors</w:t>
      </w:r>
      <w:r w:rsidR="00C5291F" w:rsidRPr="0059218B">
        <w:rPr>
          <w:szCs w:val="24"/>
        </w:rPr>
        <w:t xml:space="preserve"> if </w:t>
      </w:r>
      <w:r>
        <w:rPr>
          <w:szCs w:val="24"/>
        </w:rPr>
        <w:t xml:space="preserve">you are </w:t>
      </w:r>
      <w:r w:rsidR="00C5291F" w:rsidRPr="0059218B">
        <w:rPr>
          <w:szCs w:val="24"/>
        </w:rPr>
        <w:t xml:space="preserve">using external providers to collect and store data. </w:t>
      </w:r>
      <w:r>
        <w:rPr>
          <w:szCs w:val="24"/>
        </w:rPr>
        <w:t xml:space="preserve">Make sure you </w:t>
      </w:r>
      <w:r w:rsidR="00C5291F" w:rsidRPr="0059218B">
        <w:rPr>
          <w:szCs w:val="24"/>
        </w:rPr>
        <w:t>assess and verify the</w:t>
      </w:r>
      <w:r>
        <w:rPr>
          <w:szCs w:val="24"/>
        </w:rPr>
        <w:t>ir</w:t>
      </w:r>
      <w:r w:rsidR="00C5291F" w:rsidRPr="0059218B">
        <w:rPr>
          <w:szCs w:val="24"/>
        </w:rPr>
        <w:t xml:space="preserve"> security credentials and practices. </w:t>
      </w:r>
    </w:p>
    <w:p w14:paraId="7FB7D3F1" w14:textId="4B164A9E" w:rsidR="001A075C" w:rsidRPr="0059218B" w:rsidRDefault="00507D4B" w:rsidP="00EC11B9">
      <w:pPr>
        <w:pStyle w:val="Heading3"/>
      </w:pPr>
      <w:r w:rsidRPr="0059218B">
        <w:t xml:space="preserve">Choose </w:t>
      </w:r>
      <w:r w:rsidR="002C794C" w:rsidRPr="0059218B">
        <w:t>i</w:t>
      </w:r>
      <w:r w:rsidR="00525537" w:rsidRPr="0059218B">
        <w:t>nclusive</w:t>
      </w:r>
      <w:r w:rsidR="00F86FE2" w:rsidRPr="0059218B">
        <w:t xml:space="preserve"> </w:t>
      </w:r>
      <w:r w:rsidR="00374677" w:rsidRPr="0059218B">
        <w:t>q</w:t>
      </w:r>
      <w:r w:rsidR="001A075C" w:rsidRPr="0059218B">
        <w:t xml:space="preserve">uestions and </w:t>
      </w:r>
      <w:r w:rsidR="00374677" w:rsidRPr="0059218B">
        <w:t>r</w:t>
      </w:r>
      <w:r w:rsidR="001A075C" w:rsidRPr="0059218B">
        <w:t xml:space="preserve">esponse </w:t>
      </w:r>
      <w:r w:rsidR="00374677" w:rsidRPr="0059218B">
        <w:t>o</w:t>
      </w:r>
      <w:r w:rsidR="001A075C" w:rsidRPr="0059218B">
        <w:t xml:space="preserve">ptions </w:t>
      </w:r>
    </w:p>
    <w:p w14:paraId="177D9587" w14:textId="494BD9DB" w:rsidR="00D5438E" w:rsidRPr="0059218B" w:rsidRDefault="150B919F" w:rsidP="41ED6CC6">
      <w:r w:rsidRPr="41ED6CC6">
        <w:rPr>
          <w:b/>
          <w:bCs/>
        </w:rPr>
        <w:t>Why?</w:t>
      </w:r>
      <w:r w:rsidRPr="41ED6CC6">
        <w:t xml:space="preserve"> Self-determination is a key principle in data collection. Ignore it and you risk using questions and response options that are disrespectful, inaccurate and offensive to your employees.  </w:t>
      </w:r>
    </w:p>
    <w:p w14:paraId="7241582C" w14:textId="10A8E773" w:rsidR="00EE01BA" w:rsidRPr="0059218B" w:rsidRDefault="00D5438E" w:rsidP="00EE01BA">
      <w:pPr>
        <w:rPr>
          <w:szCs w:val="24"/>
        </w:rPr>
      </w:pPr>
      <w:r w:rsidRPr="0059218B">
        <w:rPr>
          <w:b/>
          <w:bCs/>
          <w:szCs w:val="24"/>
        </w:rPr>
        <w:t>How?</w:t>
      </w:r>
      <w:r w:rsidRPr="0059218B">
        <w:rPr>
          <w:szCs w:val="24"/>
        </w:rPr>
        <w:t xml:space="preserve"> </w:t>
      </w:r>
      <w:r w:rsidR="009F067B" w:rsidRPr="0059218B">
        <w:rPr>
          <w:szCs w:val="24"/>
        </w:rPr>
        <w:t xml:space="preserve">When putting together questions and response options </w:t>
      </w:r>
      <w:r w:rsidR="009904AD">
        <w:rPr>
          <w:szCs w:val="24"/>
        </w:rPr>
        <w:t>for</w:t>
      </w:r>
      <w:r w:rsidR="009F067B" w:rsidRPr="0059218B">
        <w:rPr>
          <w:szCs w:val="24"/>
        </w:rPr>
        <w:t xml:space="preserve"> a D&amp;I survey or HRIS, remember that </w:t>
      </w:r>
      <w:r w:rsidR="00481708" w:rsidRPr="0059218B">
        <w:rPr>
          <w:szCs w:val="24"/>
        </w:rPr>
        <w:t xml:space="preserve">it is </w:t>
      </w:r>
      <w:r w:rsidR="009F067B" w:rsidRPr="0059218B">
        <w:rPr>
          <w:szCs w:val="24"/>
        </w:rPr>
        <w:t>l</w:t>
      </w:r>
      <w:r w:rsidR="00EE01BA" w:rsidRPr="0059218B">
        <w:rPr>
          <w:szCs w:val="24"/>
        </w:rPr>
        <w:t xml:space="preserve">eading practice </w:t>
      </w:r>
      <w:r w:rsidR="009F067B" w:rsidRPr="0059218B">
        <w:rPr>
          <w:szCs w:val="24"/>
        </w:rPr>
        <w:t xml:space="preserve">to follow </w:t>
      </w:r>
      <w:r w:rsidR="00EE01BA" w:rsidRPr="0059218B">
        <w:rPr>
          <w:szCs w:val="24"/>
        </w:rPr>
        <w:t>self-determination</w:t>
      </w:r>
      <w:r w:rsidR="00481708" w:rsidRPr="0059218B">
        <w:rPr>
          <w:szCs w:val="24"/>
        </w:rPr>
        <w:t xml:space="preserve"> principles</w:t>
      </w:r>
      <w:r w:rsidR="00EE01BA" w:rsidRPr="0059218B">
        <w:rPr>
          <w:szCs w:val="24"/>
        </w:rPr>
        <w:t>. This means:</w:t>
      </w:r>
    </w:p>
    <w:p w14:paraId="4FE07A62" w14:textId="461408C1" w:rsidR="00EE01BA" w:rsidRPr="0059218B" w:rsidRDefault="00EE01BA" w:rsidP="00337E92">
      <w:pPr>
        <w:pStyle w:val="ListParagraph"/>
        <w:numPr>
          <w:ilvl w:val="0"/>
          <w:numId w:val="11"/>
        </w:numPr>
        <w:ind w:left="714" w:hanging="357"/>
        <w:contextualSpacing w:val="0"/>
        <w:rPr>
          <w:szCs w:val="24"/>
        </w:rPr>
      </w:pPr>
      <w:r w:rsidRPr="0059218B">
        <w:rPr>
          <w:szCs w:val="24"/>
        </w:rPr>
        <w:t xml:space="preserve">using questions and response options that have been developed by people and </w:t>
      </w:r>
      <w:r w:rsidR="007A3734" w:rsidRPr="0059218B">
        <w:rPr>
          <w:szCs w:val="24"/>
        </w:rPr>
        <w:t>peak bodies</w:t>
      </w:r>
      <w:r w:rsidRPr="0059218B">
        <w:rPr>
          <w:szCs w:val="24"/>
        </w:rPr>
        <w:t xml:space="preserve"> with lived experience of </w:t>
      </w:r>
      <w:r w:rsidR="009904AD">
        <w:rPr>
          <w:szCs w:val="24"/>
        </w:rPr>
        <w:t>each topic</w:t>
      </w:r>
      <w:r w:rsidRPr="0059218B">
        <w:rPr>
          <w:szCs w:val="24"/>
        </w:rPr>
        <w:t xml:space="preserve"> </w:t>
      </w:r>
    </w:p>
    <w:p w14:paraId="5E559C8B" w14:textId="362F64DE" w:rsidR="007A3734" w:rsidRPr="0059218B" w:rsidRDefault="007A3734" w:rsidP="00337E92">
      <w:pPr>
        <w:pStyle w:val="ListParagraph"/>
        <w:numPr>
          <w:ilvl w:val="0"/>
          <w:numId w:val="11"/>
        </w:numPr>
        <w:ind w:left="714" w:hanging="357"/>
        <w:contextualSpacing w:val="0"/>
        <w:rPr>
          <w:szCs w:val="24"/>
        </w:rPr>
      </w:pPr>
      <w:r w:rsidRPr="0059218B">
        <w:rPr>
          <w:szCs w:val="24"/>
        </w:rPr>
        <w:t>asking your employees how they see themselves (e.g. if they identify as a person with disability or how they describe their gender)</w:t>
      </w:r>
      <w:r w:rsidR="00F33384" w:rsidRPr="0059218B">
        <w:rPr>
          <w:szCs w:val="24"/>
        </w:rPr>
        <w:t>.</w:t>
      </w:r>
    </w:p>
    <w:p w14:paraId="015ED462" w14:textId="29038935" w:rsidR="00EE01BA" w:rsidRPr="0059218B" w:rsidRDefault="00EE01BA" w:rsidP="00EE01BA">
      <w:pPr>
        <w:rPr>
          <w:szCs w:val="24"/>
        </w:rPr>
      </w:pPr>
      <w:r w:rsidRPr="0059218B">
        <w:rPr>
          <w:szCs w:val="24"/>
        </w:rPr>
        <w:t>For example, DCA follows the question</w:t>
      </w:r>
      <w:r w:rsidR="00DA0A2E">
        <w:rPr>
          <w:szCs w:val="24"/>
        </w:rPr>
        <w:t>s</w:t>
      </w:r>
      <w:r w:rsidRPr="0059218B">
        <w:rPr>
          <w:szCs w:val="24"/>
        </w:rPr>
        <w:t xml:space="preserve"> and response options developed by </w:t>
      </w:r>
      <w:hyperlink r:id="rId15" w:anchor="recommended-sexuality-and-gender-indicators" w:history="1">
        <w:r w:rsidRPr="0059218B">
          <w:rPr>
            <w:rStyle w:val="Hyperlink"/>
            <w:szCs w:val="24"/>
          </w:rPr>
          <w:t>ACON</w:t>
        </w:r>
      </w:hyperlink>
      <w:r w:rsidRPr="0059218B">
        <w:rPr>
          <w:szCs w:val="24"/>
        </w:rPr>
        <w:t xml:space="preserve"> when capturing gender. </w:t>
      </w:r>
      <w:r w:rsidR="00F33384" w:rsidRPr="0059218B">
        <w:rPr>
          <w:szCs w:val="24"/>
        </w:rPr>
        <w:t xml:space="preserve">DCA’s </w:t>
      </w:r>
      <w:hyperlink r:id="rId16" w:history="1">
        <w:r w:rsidRPr="0059218B">
          <w:rPr>
            <w:rStyle w:val="Hyperlink"/>
            <w:szCs w:val="24"/>
          </w:rPr>
          <w:t>Counting Culture</w:t>
        </w:r>
      </w:hyperlink>
      <w:r w:rsidRPr="0059218B">
        <w:rPr>
          <w:szCs w:val="24"/>
        </w:rPr>
        <w:t xml:space="preserve"> questions were developed </w:t>
      </w:r>
      <w:r w:rsidR="00DA0A2E">
        <w:rPr>
          <w:szCs w:val="24"/>
        </w:rPr>
        <w:t>after</w:t>
      </w:r>
      <w:r w:rsidR="00DA0A2E" w:rsidRPr="0059218B">
        <w:rPr>
          <w:szCs w:val="24"/>
        </w:rPr>
        <w:t xml:space="preserve"> </w:t>
      </w:r>
      <w:r w:rsidRPr="0059218B">
        <w:rPr>
          <w:szCs w:val="24"/>
        </w:rPr>
        <w:t xml:space="preserve">extensive consultation with an expert advisory panel, focus groups, and </w:t>
      </w:r>
      <w:r w:rsidR="00DA0A2E">
        <w:rPr>
          <w:szCs w:val="24"/>
        </w:rPr>
        <w:t>a pilot</w:t>
      </w:r>
      <w:r w:rsidRPr="0059218B">
        <w:rPr>
          <w:szCs w:val="24"/>
        </w:rPr>
        <w:t xml:space="preserve"> with employees (including culturally and racially marginalised employees). </w:t>
      </w:r>
    </w:p>
    <w:p w14:paraId="4251E3B3" w14:textId="717E62D0" w:rsidR="00DA0A2E" w:rsidRDefault="00EE01BA" w:rsidP="00EE01BA">
      <w:pPr>
        <w:rPr>
          <w:szCs w:val="24"/>
        </w:rPr>
      </w:pPr>
      <w:r w:rsidRPr="0059218B">
        <w:rPr>
          <w:szCs w:val="24"/>
        </w:rPr>
        <w:t xml:space="preserve">It can also be insightful to test the wording of your questions with key stakeholder groups internally, like your employee resource groups or D&amp;I </w:t>
      </w:r>
      <w:r w:rsidR="00DA0A2E">
        <w:rPr>
          <w:szCs w:val="24"/>
        </w:rPr>
        <w:t>c</w:t>
      </w:r>
      <w:r w:rsidRPr="0059218B">
        <w:rPr>
          <w:szCs w:val="24"/>
        </w:rPr>
        <w:t xml:space="preserve">ouncil. </w:t>
      </w:r>
      <w:r w:rsidR="00643CED" w:rsidRPr="0059218B">
        <w:rPr>
          <w:szCs w:val="24"/>
        </w:rPr>
        <w:t>But r</w:t>
      </w:r>
      <w:r w:rsidR="00F51F0D" w:rsidRPr="0059218B">
        <w:rPr>
          <w:szCs w:val="24"/>
        </w:rPr>
        <w:t>emember to prioritise the perspectives of people who have lived experience</w:t>
      </w:r>
      <w:r w:rsidR="00DA0A2E">
        <w:rPr>
          <w:szCs w:val="24"/>
        </w:rPr>
        <w:t>.</w:t>
      </w:r>
    </w:p>
    <w:p w14:paraId="2E0661AF" w14:textId="6A8354A2" w:rsidR="00EE01BA" w:rsidRDefault="00DA0A2E" w:rsidP="00BC58A9">
      <w:pPr>
        <w:rPr>
          <w:szCs w:val="24"/>
        </w:rPr>
      </w:pPr>
      <w:r>
        <w:rPr>
          <w:szCs w:val="24"/>
        </w:rPr>
        <w:t>F</w:t>
      </w:r>
      <w:r w:rsidR="00F51F0D" w:rsidRPr="0059218B">
        <w:rPr>
          <w:szCs w:val="24"/>
        </w:rPr>
        <w:t>or example</w:t>
      </w:r>
      <w:r>
        <w:rPr>
          <w:szCs w:val="24"/>
        </w:rPr>
        <w:t xml:space="preserve">, </w:t>
      </w:r>
      <w:r w:rsidR="00643CED" w:rsidRPr="0059218B">
        <w:rPr>
          <w:szCs w:val="24"/>
        </w:rPr>
        <w:t>when</w:t>
      </w:r>
      <w:r>
        <w:rPr>
          <w:szCs w:val="24"/>
        </w:rPr>
        <w:t xml:space="preserve"> you are</w:t>
      </w:r>
      <w:r w:rsidR="00643CED" w:rsidRPr="0059218B">
        <w:rPr>
          <w:szCs w:val="24"/>
        </w:rPr>
        <w:t xml:space="preserve"> deciding what question</w:t>
      </w:r>
      <w:r>
        <w:rPr>
          <w:szCs w:val="24"/>
        </w:rPr>
        <w:t>s</w:t>
      </w:r>
      <w:r w:rsidR="00643CED" w:rsidRPr="0059218B">
        <w:rPr>
          <w:szCs w:val="24"/>
        </w:rPr>
        <w:t xml:space="preserve"> and response options you should use to ask about First Nations status</w:t>
      </w:r>
      <w:r w:rsidR="0080440A" w:rsidRPr="0059218B">
        <w:rPr>
          <w:szCs w:val="24"/>
        </w:rPr>
        <w:t>,</w:t>
      </w:r>
      <w:r w:rsidR="00643CED" w:rsidRPr="0059218B">
        <w:rPr>
          <w:szCs w:val="24"/>
        </w:rPr>
        <w:t xml:space="preserve"> </w:t>
      </w:r>
      <w:r w:rsidR="00F51F0D" w:rsidRPr="0059218B">
        <w:rPr>
          <w:szCs w:val="24"/>
        </w:rPr>
        <w:t xml:space="preserve">prioritise the perspectives of First Nations employees and peak bodies. </w:t>
      </w:r>
    </w:p>
    <w:p w14:paraId="273E0DB8" w14:textId="1C4069C2" w:rsidR="00EC11B9" w:rsidRDefault="00EC11B9" w:rsidP="00EC11B9">
      <w:pPr>
        <w:pStyle w:val="Heading4"/>
      </w:pPr>
      <w:r>
        <w:t>How many questions should we be asking? And which ones?</w:t>
      </w:r>
    </w:p>
    <w:p w14:paraId="02556F39" w14:textId="77777777" w:rsidR="00EC11B9" w:rsidRPr="0059218B" w:rsidRDefault="00EC11B9" w:rsidP="00EC11B9">
      <w:pPr>
        <w:spacing w:line="264" w:lineRule="auto"/>
        <w:rPr>
          <w:szCs w:val="24"/>
        </w:rPr>
      </w:pPr>
      <w:r w:rsidRPr="0059218B">
        <w:rPr>
          <w:szCs w:val="24"/>
        </w:rPr>
        <w:t>There is no s</w:t>
      </w:r>
      <w:r>
        <w:rPr>
          <w:szCs w:val="24"/>
        </w:rPr>
        <w:t xml:space="preserve">ingle </w:t>
      </w:r>
      <w:r w:rsidRPr="0059218B">
        <w:rPr>
          <w:szCs w:val="24"/>
        </w:rPr>
        <w:t xml:space="preserve">rule </w:t>
      </w:r>
      <w:r>
        <w:rPr>
          <w:szCs w:val="24"/>
        </w:rPr>
        <w:t>to dictate</w:t>
      </w:r>
      <w:r w:rsidRPr="0059218B">
        <w:rPr>
          <w:szCs w:val="24"/>
        </w:rPr>
        <w:t xml:space="preserve"> </w:t>
      </w:r>
      <w:r w:rsidRPr="0059218B">
        <w:rPr>
          <w:b/>
          <w:bCs/>
          <w:szCs w:val="24"/>
        </w:rPr>
        <w:t>how many diversity questions</w:t>
      </w:r>
      <w:r w:rsidRPr="0059218B">
        <w:rPr>
          <w:szCs w:val="24"/>
        </w:rPr>
        <w:t xml:space="preserve"> you should </w:t>
      </w:r>
      <w:r>
        <w:rPr>
          <w:szCs w:val="24"/>
        </w:rPr>
        <w:t>ask</w:t>
      </w:r>
      <w:r w:rsidRPr="0059218B">
        <w:rPr>
          <w:szCs w:val="24"/>
        </w:rPr>
        <w:t xml:space="preserve"> in a survey or HRIS. </w:t>
      </w:r>
    </w:p>
    <w:p w14:paraId="22989DFF" w14:textId="77777777" w:rsidR="00EC11B9" w:rsidRPr="0059218B" w:rsidRDefault="00EC11B9" w:rsidP="00EC11B9">
      <w:pPr>
        <w:pStyle w:val="ListParagraph"/>
        <w:numPr>
          <w:ilvl w:val="0"/>
          <w:numId w:val="40"/>
        </w:numPr>
        <w:spacing w:line="264" w:lineRule="auto"/>
        <w:contextualSpacing w:val="0"/>
        <w:rPr>
          <w:szCs w:val="24"/>
        </w:rPr>
      </w:pPr>
      <w:r w:rsidRPr="0059218B">
        <w:rPr>
          <w:szCs w:val="24"/>
        </w:rPr>
        <w:t>Organisations that have never captured D&amp;I data before might start with a few questions, building up how many they ask over time as employee trust in collection and privacy increases. This</w:t>
      </w:r>
      <w:r>
        <w:rPr>
          <w:szCs w:val="24"/>
        </w:rPr>
        <w:t xml:space="preserve"> approach</w:t>
      </w:r>
      <w:r w:rsidRPr="0059218B">
        <w:rPr>
          <w:szCs w:val="24"/>
        </w:rPr>
        <w:t xml:space="preserve"> can be particularly useful for capturing D&amp;I data in an HRIS where data is </w:t>
      </w:r>
      <w:r>
        <w:rPr>
          <w:szCs w:val="24"/>
        </w:rPr>
        <w:t>clearly</w:t>
      </w:r>
      <w:r w:rsidRPr="0059218B">
        <w:rPr>
          <w:szCs w:val="24"/>
        </w:rPr>
        <w:t xml:space="preserve"> linked to employees. </w:t>
      </w:r>
    </w:p>
    <w:p w14:paraId="53F213A2" w14:textId="77777777" w:rsidR="00EC11B9" w:rsidRPr="0059218B" w:rsidRDefault="00EC11B9" w:rsidP="00EC11B9">
      <w:pPr>
        <w:pStyle w:val="ListParagraph"/>
        <w:numPr>
          <w:ilvl w:val="0"/>
          <w:numId w:val="40"/>
        </w:numPr>
        <w:spacing w:line="264" w:lineRule="auto"/>
        <w:contextualSpacing w:val="0"/>
        <w:rPr>
          <w:szCs w:val="24"/>
        </w:rPr>
      </w:pPr>
      <w:r w:rsidRPr="0059218B">
        <w:rPr>
          <w:szCs w:val="24"/>
        </w:rPr>
        <w:t xml:space="preserve">Organisations that have been capturing D&amp;I data for longer </w:t>
      </w:r>
      <w:r>
        <w:rPr>
          <w:szCs w:val="24"/>
        </w:rPr>
        <w:t xml:space="preserve">can </w:t>
      </w:r>
      <w:r w:rsidRPr="0059218B">
        <w:rPr>
          <w:szCs w:val="24"/>
        </w:rPr>
        <w:t xml:space="preserve">increase the number of questions they capture across a range of diversity dimensions, as are organisations using anonymous surveys to capture this data. </w:t>
      </w:r>
    </w:p>
    <w:p w14:paraId="08E81016" w14:textId="77777777" w:rsidR="00EC11B9" w:rsidRPr="0059218B" w:rsidRDefault="00EC11B9" w:rsidP="00EC11B9">
      <w:pPr>
        <w:spacing w:line="264" w:lineRule="auto"/>
        <w:rPr>
          <w:szCs w:val="24"/>
        </w:rPr>
      </w:pPr>
      <w:r>
        <w:rPr>
          <w:szCs w:val="24"/>
        </w:rPr>
        <w:t>Equally, t</w:t>
      </w:r>
      <w:r w:rsidRPr="0059218B">
        <w:rPr>
          <w:szCs w:val="24"/>
        </w:rPr>
        <w:t>here is no s</w:t>
      </w:r>
      <w:r>
        <w:rPr>
          <w:szCs w:val="24"/>
        </w:rPr>
        <w:t>ingle</w:t>
      </w:r>
      <w:r w:rsidRPr="0059218B">
        <w:rPr>
          <w:szCs w:val="24"/>
        </w:rPr>
        <w:t xml:space="preserve"> rule for </w:t>
      </w:r>
      <w:r w:rsidRPr="0059218B">
        <w:rPr>
          <w:b/>
          <w:bCs/>
          <w:szCs w:val="24"/>
        </w:rPr>
        <w:t>which diversity questions</w:t>
      </w:r>
      <w:r w:rsidRPr="0059218B">
        <w:rPr>
          <w:szCs w:val="24"/>
        </w:rPr>
        <w:t xml:space="preserve"> you should </w:t>
      </w:r>
      <w:r>
        <w:rPr>
          <w:szCs w:val="24"/>
        </w:rPr>
        <w:t>ask</w:t>
      </w:r>
      <w:r w:rsidRPr="0059218B">
        <w:rPr>
          <w:szCs w:val="24"/>
        </w:rPr>
        <w:t xml:space="preserve">. </w:t>
      </w:r>
    </w:p>
    <w:p w14:paraId="49BDD47D" w14:textId="77777777" w:rsidR="00EC11B9" w:rsidRPr="0059218B" w:rsidRDefault="00EC11B9" w:rsidP="00EC11B9">
      <w:pPr>
        <w:pStyle w:val="ListParagraph"/>
        <w:numPr>
          <w:ilvl w:val="0"/>
          <w:numId w:val="41"/>
        </w:numPr>
        <w:contextualSpacing w:val="0"/>
        <w:rPr>
          <w:szCs w:val="24"/>
        </w:rPr>
      </w:pPr>
      <w:r w:rsidRPr="0059218B">
        <w:rPr>
          <w:szCs w:val="24"/>
        </w:rPr>
        <w:t>DCA suggests at a minimum capturing data on Aboriginal and/or Torres Strait Islander identity to recognise the centrality of First Nations inclusion for any D&amp;I work</w:t>
      </w:r>
      <w:r>
        <w:rPr>
          <w:szCs w:val="24"/>
        </w:rPr>
        <w:t>.</w:t>
      </w:r>
      <w:r w:rsidRPr="0059218B">
        <w:rPr>
          <w:szCs w:val="24"/>
        </w:rPr>
        <w:t xml:space="preserve"> </w:t>
      </w:r>
    </w:p>
    <w:p w14:paraId="4D2EFAC9" w14:textId="43F00AA8" w:rsidR="004B1511" w:rsidRPr="0059218B" w:rsidRDefault="00EC11B9" w:rsidP="00B42F24">
      <w:r>
        <w:rPr>
          <w:szCs w:val="24"/>
        </w:rPr>
        <w:t xml:space="preserve">Other </w:t>
      </w:r>
      <w:r w:rsidRPr="0059218B">
        <w:rPr>
          <w:szCs w:val="24"/>
        </w:rPr>
        <w:t xml:space="preserve">data you capture </w:t>
      </w:r>
      <w:r>
        <w:rPr>
          <w:szCs w:val="24"/>
        </w:rPr>
        <w:t>would</w:t>
      </w:r>
      <w:r w:rsidRPr="0059218B">
        <w:rPr>
          <w:szCs w:val="24"/>
        </w:rPr>
        <w:t xml:space="preserve"> depend on things like your D&amp;I data collection goals, external compliance</w:t>
      </w:r>
      <w:r>
        <w:rPr>
          <w:szCs w:val="24"/>
        </w:rPr>
        <w:t xml:space="preserve"> or </w:t>
      </w:r>
      <w:r w:rsidRPr="0059218B">
        <w:rPr>
          <w:szCs w:val="24"/>
        </w:rPr>
        <w:t>reporting requirements, organisational readiness for D&amp;I data, industry, current D&amp;I areas of focus, or internal D&amp;I initiatives (e.g. employee resource groups).</w:t>
      </w:r>
    </w:p>
    <w:p w14:paraId="33AFD1F5" w14:textId="693AE721" w:rsidR="00C84F67" w:rsidRPr="0059218B" w:rsidRDefault="00086D65" w:rsidP="00EC11B9">
      <w:pPr>
        <w:pStyle w:val="Heading2"/>
      </w:pPr>
      <w:r w:rsidRPr="0059218B">
        <w:br w:type="page"/>
      </w:r>
      <w:bookmarkStart w:id="11" w:name="_Toc193468422"/>
      <w:r w:rsidR="00C84F67" w:rsidRPr="0059218B">
        <w:t>S</w:t>
      </w:r>
      <w:r w:rsidR="007B0F48" w:rsidRPr="0059218B">
        <w:t xml:space="preserve">TEP </w:t>
      </w:r>
      <w:r w:rsidR="00C84F67" w:rsidRPr="0059218B">
        <w:t>2</w:t>
      </w:r>
      <w:r w:rsidR="007B0F48" w:rsidRPr="0059218B">
        <w:t>:</w:t>
      </w:r>
      <w:r w:rsidR="00C84F67" w:rsidRPr="0059218B">
        <w:t xml:space="preserve"> Collect</w:t>
      </w:r>
      <w:bookmarkEnd w:id="11"/>
      <w:r w:rsidR="00C84F67" w:rsidRPr="0059218B">
        <w:t xml:space="preserve"> </w:t>
      </w:r>
    </w:p>
    <w:p w14:paraId="4313F636" w14:textId="728E8985" w:rsidR="007B0F48" w:rsidRPr="0059218B" w:rsidRDefault="000871B9" w:rsidP="000871B9">
      <w:r w:rsidRPr="0059218B">
        <w:t xml:space="preserve">Step 2 involves taking a planned approach to collecting your D&amp;I data. This ensures </w:t>
      </w:r>
      <w:r w:rsidR="005A04BE" w:rsidRPr="0059218B">
        <w:t xml:space="preserve">you reach as many employees as possible. </w:t>
      </w:r>
    </w:p>
    <w:p w14:paraId="46E93583" w14:textId="5C079E44" w:rsidR="001A075C" w:rsidRPr="0059218B" w:rsidRDefault="00824E88" w:rsidP="00BD1836">
      <w:pPr>
        <w:pStyle w:val="Heading3"/>
      </w:pPr>
      <w:r w:rsidRPr="0059218B">
        <w:t xml:space="preserve">Plan how to </w:t>
      </w:r>
      <w:r w:rsidR="00C73D2D" w:rsidRPr="0059218B">
        <w:t>communicate about D&amp;I</w:t>
      </w:r>
      <w:r w:rsidR="001A075C" w:rsidRPr="0059218B">
        <w:t xml:space="preserve"> </w:t>
      </w:r>
      <w:r w:rsidRPr="0059218B">
        <w:t xml:space="preserve">data collection </w:t>
      </w:r>
    </w:p>
    <w:p w14:paraId="45F24C83" w14:textId="1B50904E" w:rsidR="00B96841" w:rsidRPr="0059218B" w:rsidRDefault="150B919F" w:rsidP="00B96841">
      <w:r w:rsidRPr="41ED6CC6">
        <w:rPr>
          <w:b/>
          <w:bCs/>
        </w:rPr>
        <w:t xml:space="preserve">Why? </w:t>
      </w:r>
      <w:r w:rsidRPr="41ED6CC6">
        <w:t xml:space="preserve">The way you communicate with employees about D&amp;I surveys or D&amp;I </w:t>
      </w:r>
      <w:r w:rsidR="0041731C">
        <w:t>questions</w:t>
      </w:r>
      <w:r w:rsidR="0041731C" w:rsidRPr="41ED6CC6">
        <w:t xml:space="preserve"> </w:t>
      </w:r>
      <w:r w:rsidRPr="41ED6CC6">
        <w:t xml:space="preserve">in </w:t>
      </w:r>
      <w:r w:rsidR="00093702">
        <w:t xml:space="preserve">your </w:t>
      </w:r>
      <w:r w:rsidRPr="41ED6CC6">
        <w:t xml:space="preserve">HR information system (HRIS) </w:t>
      </w:r>
      <w:r w:rsidR="009679FF">
        <w:t xml:space="preserve">influences </w:t>
      </w:r>
      <w:r w:rsidRPr="41ED6CC6">
        <w:t xml:space="preserve">how willing they will be to participate. For some employees, responding to questions about their identity may feel too personal, risky or intrusive. Respectful and informative communications can help address their concerns and build trust in your data collection. </w:t>
      </w:r>
    </w:p>
    <w:p w14:paraId="6FCBA298" w14:textId="60A6227C" w:rsidR="00B652E0" w:rsidRPr="0059218B" w:rsidRDefault="150B919F" w:rsidP="41ED6CC6">
      <w:r w:rsidRPr="41ED6CC6">
        <w:rPr>
          <w:b/>
          <w:bCs/>
        </w:rPr>
        <w:t xml:space="preserve">How?  </w:t>
      </w:r>
      <w:r w:rsidRPr="41ED6CC6">
        <w:t xml:space="preserve">Before asking employees to share any D&amp;I information, consider the following factors. These should inform your communications strategy and will help increase engagement.  </w:t>
      </w:r>
    </w:p>
    <w:p w14:paraId="66BD394D" w14:textId="7F771C7E" w:rsidR="00E65529" w:rsidRPr="0059218B" w:rsidRDefault="150B919F" w:rsidP="150B919F">
      <w:pPr>
        <w:pStyle w:val="ListParagraph"/>
        <w:numPr>
          <w:ilvl w:val="0"/>
          <w:numId w:val="10"/>
        </w:numPr>
        <w:ind w:left="714" w:hanging="357"/>
      </w:pPr>
      <w:r w:rsidRPr="41ED6CC6">
        <w:rPr>
          <w:b/>
          <w:bCs/>
        </w:rPr>
        <w:t>The size and make-up of your workforce.</w:t>
      </w:r>
      <w:r w:rsidRPr="41ED6CC6">
        <w:t xml:space="preserve"> Does your organisation have a small or large workforce? Smaller organisations usually find it easier logistically to reach all employees. This means their employee response rates are often quite high. Larger organisations typically need to communicate through multiple channels to reach all employees and generate a high response rate. Organisations with a large volunteer workforce also need to diversify how they communicate with volunteers – especially those who don’t have an organisational email address. </w:t>
      </w:r>
    </w:p>
    <w:p w14:paraId="31E7F210" w14:textId="246ABFB0" w:rsidR="00B652E0" w:rsidRPr="0059218B" w:rsidRDefault="150B919F" w:rsidP="150B919F">
      <w:pPr>
        <w:pStyle w:val="ListParagraph"/>
        <w:numPr>
          <w:ilvl w:val="0"/>
          <w:numId w:val="10"/>
        </w:numPr>
        <w:ind w:left="714" w:hanging="357"/>
      </w:pPr>
      <w:r w:rsidRPr="41ED6CC6">
        <w:rPr>
          <w:b/>
          <w:bCs/>
        </w:rPr>
        <w:t>Your industry.</w:t>
      </w:r>
      <w:r w:rsidRPr="41ED6CC6">
        <w:t xml:space="preserve"> In your organisation, do most employees work from computers at their desk or out in the field?  If most employees use a computer at their desk, you’ll find it easier to get a higher response rate. If your industry requires employees to be out in the field and away from computers, you’ll need to find creative ways to encourage them to take a survey or self-report. </w:t>
      </w:r>
    </w:p>
    <w:p w14:paraId="5AC187CB" w14:textId="4BC03897" w:rsidR="00E65529" w:rsidRPr="0059218B" w:rsidRDefault="004B1F82" w:rsidP="004B1F82">
      <w:pPr>
        <w:pStyle w:val="ListParagraph"/>
        <w:numPr>
          <w:ilvl w:val="0"/>
          <w:numId w:val="10"/>
        </w:numPr>
        <w:ind w:left="714" w:hanging="357"/>
        <w:contextualSpacing w:val="0"/>
        <w:rPr>
          <w:szCs w:val="24"/>
        </w:rPr>
      </w:pPr>
      <w:r>
        <w:rPr>
          <w:b/>
          <w:bCs/>
          <w:szCs w:val="24"/>
        </w:rPr>
        <w:t>The n</w:t>
      </w:r>
      <w:r w:rsidR="00E65529" w:rsidRPr="0059218B">
        <w:rPr>
          <w:b/>
          <w:bCs/>
          <w:szCs w:val="24"/>
        </w:rPr>
        <w:t>umber of other surveys</w:t>
      </w:r>
      <w:r w:rsidR="00E65529" w:rsidRPr="0059218B">
        <w:rPr>
          <w:szCs w:val="24"/>
        </w:rPr>
        <w:t xml:space="preserve">. </w:t>
      </w:r>
      <w:r w:rsidR="00B17174" w:rsidRPr="0059218B">
        <w:rPr>
          <w:szCs w:val="24"/>
        </w:rPr>
        <w:t xml:space="preserve">Organisations that run many employee surveys may experience lower response rates, particularly if </w:t>
      </w:r>
      <w:r w:rsidR="003C3862" w:rsidRPr="0059218B">
        <w:rPr>
          <w:szCs w:val="24"/>
        </w:rPr>
        <w:t xml:space="preserve">these </w:t>
      </w:r>
      <w:r w:rsidR="00B17174" w:rsidRPr="0059218B">
        <w:rPr>
          <w:szCs w:val="24"/>
        </w:rPr>
        <w:t xml:space="preserve">surveys are </w:t>
      </w:r>
      <w:r w:rsidR="00A95307" w:rsidRPr="0059218B">
        <w:rPr>
          <w:szCs w:val="24"/>
        </w:rPr>
        <w:t>time-consuming</w:t>
      </w:r>
      <w:r w:rsidR="003C3862" w:rsidRPr="0059218B">
        <w:rPr>
          <w:szCs w:val="24"/>
        </w:rPr>
        <w:t xml:space="preserve"> or </w:t>
      </w:r>
      <w:r>
        <w:rPr>
          <w:szCs w:val="24"/>
        </w:rPr>
        <w:t>come out</w:t>
      </w:r>
      <w:r w:rsidR="003C3862" w:rsidRPr="0059218B">
        <w:rPr>
          <w:szCs w:val="24"/>
        </w:rPr>
        <w:t xml:space="preserve"> </w:t>
      </w:r>
      <w:r w:rsidR="003E7679" w:rsidRPr="0059218B">
        <w:rPr>
          <w:szCs w:val="24"/>
        </w:rPr>
        <w:t xml:space="preserve">around the same </w:t>
      </w:r>
      <w:r w:rsidR="003C3862" w:rsidRPr="0059218B">
        <w:rPr>
          <w:szCs w:val="24"/>
        </w:rPr>
        <w:t>time</w:t>
      </w:r>
      <w:r w:rsidR="00B17174" w:rsidRPr="0059218B">
        <w:rPr>
          <w:szCs w:val="24"/>
        </w:rPr>
        <w:t xml:space="preserve">. </w:t>
      </w:r>
    </w:p>
    <w:p w14:paraId="4D836A0F" w14:textId="4EF6A089" w:rsidR="00E65529" w:rsidRPr="0059218B" w:rsidRDefault="00E65529" w:rsidP="00337E92">
      <w:pPr>
        <w:pStyle w:val="ListParagraph"/>
        <w:numPr>
          <w:ilvl w:val="0"/>
          <w:numId w:val="10"/>
        </w:numPr>
        <w:ind w:left="714" w:hanging="357"/>
        <w:contextualSpacing w:val="0"/>
        <w:rPr>
          <w:szCs w:val="24"/>
        </w:rPr>
      </w:pPr>
      <w:r w:rsidRPr="0059218B">
        <w:rPr>
          <w:b/>
          <w:bCs/>
          <w:szCs w:val="24"/>
        </w:rPr>
        <w:t>Buy-in from leaders.</w:t>
      </w:r>
      <w:r w:rsidRPr="0059218B">
        <w:rPr>
          <w:szCs w:val="24"/>
        </w:rPr>
        <w:t xml:space="preserve"> </w:t>
      </w:r>
      <w:r w:rsidR="00B17174" w:rsidRPr="0059218B">
        <w:rPr>
          <w:szCs w:val="24"/>
        </w:rPr>
        <w:t xml:space="preserve">Organisations that have a high buy-in </w:t>
      </w:r>
      <w:r w:rsidR="00105E5D" w:rsidRPr="0059218B">
        <w:rPr>
          <w:szCs w:val="24"/>
        </w:rPr>
        <w:t>from senior leaders on D&amp;I data collection</w:t>
      </w:r>
      <w:r w:rsidR="001B5C49" w:rsidRPr="0059218B">
        <w:rPr>
          <w:szCs w:val="24"/>
        </w:rPr>
        <w:t xml:space="preserve"> typically receive higher response rates, especially if senior leaders have </w:t>
      </w:r>
      <w:r w:rsidR="00674962" w:rsidRPr="0059218B">
        <w:rPr>
          <w:szCs w:val="24"/>
        </w:rPr>
        <w:t>shown</w:t>
      </w:r>
      <w:r w:rsidR="00FF2E8B" w:rsidRPr="0059218B">
        <w:rPr>
          <w:szCs w:val="24"/>
        </w:rPr>
        <w:t xml:space="preserve"> visible</w:t>
      </w:r>
      <w:r w:rsidR="00674962" w:rsidRPr="0059218B">
        <w:rPr>
          <w:szCs w:val="24"/>
        </w:rPr>
        <w:t xml:space="preserve"> </w:t>
      </w:r>
      <w:r w:rsidR="001B5C49" w:rsidRPr="0059218B">
        <w:rPr>
          <w:szCs w:val="24"/>
        </w:rPr>
        <w:t>suppor</w:t>
      </w:r>
      <w:r w:rsidR="00674962" w:rsidRPr="0059218B">
        <w:rPr>
          <w:szCs w:val="24"/>
        </w:rPr>
        <w:t xml:space="preserve">t </w:t>
      </w:r>
      <w:r w:rsidR="00FF2E8B" w:rsidRPr="0059218B">
        <w:rPr>
          <w:szCs w:val="24"/>
        </w:rPr>
        <w:t>for</w:t>
      </w:r>
      <w:r w:rsidR="001B5C49" w:rsidRPr="0059218B">
        <w:rPr>
          <w:szCs w:val="24"/>
        </w:rPr>
        <w:t xml:space="preserve"> </w:t>
      </w:r>
      <w:r w:rsidR="00674962" w:rsidRPr="0059218B">
        <w:rPr>
          <w:szCs w:val="24"/>
        </w:rPr>
        <w:t xml:space="preserve">data collection. </w:t>
      </w:r>
    </w:p>
    <w:p w14:paraId="08FDFE7B" w14:textId="6406EBC3" w:rsidR="00073B7F" w:rsidRPr="0059218B" w:rsidRDefault="150B919F" w:rsidP="150B919F">
      <w:pPr>
        <w:pStyle w:val="ListParagraph"/>
        <w:numPr>
          <w:ilvl w:val="0"/>
          <w:numId w:val="10"/>
        </w:numPr>
        <w:ind w:left="714" w:hanging="357"/>
      </w:pPr>
      <w:r w:rsidRPr="41ED6CC6">
        <w:rPr>
          <w:b/>
          <w:bCs/>
        </w:rPr>
        <w:t>Previous D&amp;I surveys.</w:t>
      </w:r>
      <w:r w:rsidRPr="41ED6CC6">
        <w:t xml:space="preserve"> Response rates are typically lower the first time you run a D&amp;I survey or ask employees to self-report in an HRIS. Over time, organisations will receive higher response rates as they build employee trust in the D&amp;I data collection process.</w:t>
      </w:r>
    </w:p>
    <w:p w14:paraId="3B3993B0" w14:textId="0EA08D03" w:rsidR="00855BF1" w:rsidRPr="0059218B" w:rsidRDefault="00B85881" w:rsidP="00BD1836">
      <w:pPr>
        <w:pStyle w:val="Heading3"/>
      </w:pPr>
      <w:r w:rsidRPr="0059218B">
        <w:t>Use multiple methods to communicate</w:t>
      </w:r>
    </w:p>
    <w:p w14:paraId="3483A06F" w14:textId="65D91E55" w:rsidR="00387E96" w:rsidRPr="0059218B" w:rsidRDefault="150B919F" w:rsidP="00387E96">
      <w:r w:rsidRPr="41ED6CC6">
        <w:rPr>
          <w:b/>
          <w:bCs/>
        </w:rPr>
        <w:t xml:space="preserve">Why? </w:t>
      </w:r>
      <w:r w:rsidRPr="41ED6CC6">
        <w:t xml:space="preserve">Relying on one single method to communicate with employees about data collection can limit the response rate. This is because employees will only have that one avenue to hear about and participate in the process. </w:t>
      </w:r>
    </w:p>
    <w:p w14:paraId="38AE9C9D" w14:textId="57EFF6D4" w:rsidR="00387E96" w:rsidRPr="0059218B" w:rsidRDefault="00BD2CF9" w:rsidP="00387E96">
      <w:pPr>
        <w:rPr>
          <w:szCs w:val="24"/>
        </w:rPr>
      </w:pPr>
      <w:r w:rsidRPr="0059218B">
        <w:rPr>
          <w:b/>
          <w:bCs/>
          <w:szCs w:val="24"/>
        </w:rPr>
        <w:t xml:space="preserve">How? </w:t>
      </w:r>
      <w:r w:rsidR="00722E64" w:rsidRPr="0059218B">
        <w:rPr>
          <w:szCs w:val="24"/>
        </w:rPr>
        <w:t>T</w:t>
      </w:r>
      <w:r w:rsidR="003E7679" w:rsidRPr="0059218B">
        <w:rPr>
          <w:szCs w:val="24"/>
        </w:rPr>
        <w:t>ry to u</w:t>
      </w:r>
      <w:r w:rsidR="00387E96" w:rsidRPr="0059218B">
        <w:rPr>
          <w:szCs w:val="24"/>
        </w:rPr>
        <w:t>se multiple methods of communication rather than just one</w:t>
      </w:r>
      <w:r w:rsidR="00722E64" w:rsidRPr="0059218B">
        <w:rPr>
          <w:szCs w:val="24"/>
        </w:rPr>
        <w:t xml:space="preserve"> method</w:t>
      </w:r>
      <w:r w:rsidR="00387E96" w:rsidRPr="0059218B">
        <w:rPr>
          <w:szCs w:val="24"/>
        </w:rPr>
        <w:t xml:space="preserve">. </w:t>
      </w:r>
      <w:r w:rsidR="00D66304" w:rsidRPr="0059218B">
        <w:rPr>
          <w:szCs w:val="24"/>
        </w:rPr>
        <w:t>Plan</w:t>
      </w:r>
      <w:r w:rsidR="00387E96" w:rsidRPr="0059218B">
        <w:rPr>
          <w:szCs w:val="24"/>
        </w:rPr>
        <w:t xml:space="preserve"> which communication methods will be used</w:t>
      </w:r>
      <w:r w:rsidR="004B1F82">
        <w:rPr>
          <w:szCs w:val="24"/>
        </w:rPr>
        <w:t xml:space="preserve"> and</w:t>
      </w:r>
      <w:r w:rsidR="00387E96" w:rsidRPr="0059218B">
        <w:rPr>
          <w:szCs w:val="24"/>
        </w:rPr>
        <w:t xml:space="preserve"> when. This will ensure more employees </w:t>
      </w:r>
      <w:r w:rsidR="00722E64" w:rsidRPr="0059218B">
        <w:rPr>
          <w:szCs w:val="24"/>
        </w:rPr>
        <w:t xml:space="preserve">hear about </w:t>
      </w:r>
      <w:r w:rsidR="004B1F82" w:rsidRPr="0059218B">
        <w:rPr>
          <w:szCs w:val="24"/>
        </w:rPr>
        <w:t xml:space="preserve">the data collection </w:t>
      </w:r>
      <w:r w:rsidR="00722E64" w:rsidRPr="0059218B">
        <w:rPr>
          <w:szCs w:val="24"/>
        </w:rPr>
        <w:t xml:space="preserve">and </w:t>
      </w:r>
      <w:r w:rsidR="004B1F82">
        <w:rPr>
          <w:szCs w:val="24"/>
        </w:rPr>
        <w:t>take part</w:t>
      </w:r>
      <w:r w:rsidR="00387E96" w:rsidRPr="0059218B">
        <w:rPr>
          <w:szCs w:val="24"/>
        </w:rPr>
        <w:t xml:space="preserve">. </w:t>
      </w:r>
    </w:p>
    <w:p w14:paraId="2B34A732" w14:textId="092618C6" w:rsidR="00387E96" w:rsidRPr="0059218B" w:rsidRDefault="150B919F" w:rsidP="150B919F">
      <w:pPr>
        <w:pStyle w:val="ListParagraph"/>
        <w:numPr>
          <w:ilvl w:val="0"/>
          <w:numId w:val="12"/>
        </w:numPr>
        <w:ind w:left="714" w:hanging="357"/>
      </w:pPr>
      <w:r w:rsidRPr="41ED6CC6">
        <w:rPr>
          <w:b/>
          <w:bCs/>
        </w:rPr>
        <w:t xml:space="preserve">Ahead of time, tell employees a D&amp;I survey or an HRIS self-reporting “drive” is coming. </w:t>
      </w:r>
      <w:r w:rsidRPr="41ED6CC6">
        <w:t xml:space="preserve">Some employees might be concerned a request for diversity information is a phishing scam. Giving advance notice before you share the link can help ease concerns. </w:t>
      </w:r>
    </w:p>
    <w:p w14:paraId="59BBBF33" w14:textId="4BC9631D" w:rsidR="00387E96" w:rsidRPr="0059218B" w:rsidRDefault="150B919F" w:rsidP="150B919F">
      <w:pPr>
        <w:pStyle w:val="ListParagraph"/>
        <w:numPr>
          <w:ilvl w:val="0"/>
          <w:numId w:val="12"/>
        </w:numPr>
        <w:ind w:left="714" w:hanging="357"/>
      </w:pPr>
      <w:r w:rsidRPr="41ED6CC6">
        <w:rPr>
          <w:b/>
          <w:bCs/>
        </w:rPr>
        <w:t>Work with managers.</w:t>
      </w:r>
      <w:r w:rsidRPr="41ED6CC6">
        <w:t xml:space="preserve"> Ask managers and team leaders to encourage their teams to participate by sharing the link in your internal message platform (e.g. Microsoft Teams) and in team meetings. Prepare your managers with information (e.g. on how the data will be protected and what it will be used for) so that they can answer any employee questions they receive. </w:t>
      </w:r>
    </w:p>
    <w:p w14:paraId="1DA8F889" w14:textId="432CAE18" w:rsidR="005A04BE" w:rsidRPr="0059218B" w:rsidRDefault="150B919F" w:rsidP="150B919F">
      <w:pPr>
        <w:pStyle w:val="ListParagraph"/>
        <w:numPr>
          <w:ilvl w:val="0"/>
          <w:numId w:val="12"/>
        </w:numPr>
        <w:ind w:left="714" w:hanging="357"/>
      </w:pPr>
      <w:r w:rsidRPr="41ED6CC6">
        <w:rPr>
          <w:b/>
          <w:bCs/>
        </w:rPr>
        <w:t>Work with employee resource groups (ERGs), D&amp;I councils and networks.</w:t>
      </w:r>
      <w:r w:rsidRPr="41ED6CC6">
        <w:t xml:space="preserve"> These groups and networks can encourage employees, especially those from marginalised backgrounds, to get involved. Prepare ERG, D&amp;I council and network leaders with information on the data collection process so that they can answer any employee questions they receive. </w:t>
      </w:r>
    </w:p>
    <w:p w14:paraId="1010E947" w14:textId="3A6F43C6" w:rsidR="00387E96" w:rsidRPr="0059218B" w:rsidRDefault="150B919F" w:rsidP="150B919F">
      <w:pPr>
        <w:pStyle w:val="ListParagraph"/>
        <w:numPr>
          <w:ilvl w:val="0"/>
          <w:numId w:val="12"/>
        </w:numPr>
        <w:ind w:left="714" w:hanging="357"/>
      </w:pPr>
      <w:r w:rsidRPr="41ED6CC6">
        <w:rPr>
          <w:b/>
          <w:bCs/>
        </w:rPr>
        <w:t>Send texts and use QR codes.</w:t>
      </w:r>
      <w:r w:rsidRPr="41ED6CC6">
        <w:t xml:space="preserve"> Invite employees to participate in data collection using text messages and QR codes. This helps reach employees who are out in the field or don’t regularly use email. </w:t>
      </w:r>
    </w:p>
    <w:p w14:paraId="7F46CBCB" w14:textId="0BA6A03F" w:rsidR="0004304D" w:rsidRPr="0059218B" w:rsidRDefault="0004304D" w:rsidP="00337E92">
      <w:pPr>
        <w:pStyle w:val="ListParagraph"/>
        <w:numPr>
          <w:ilvl w:val="0"/>
          <w:numId w:val="12"/>
        </w:numPr>
        <w:ind w:left="714" w:hanging="357"/>
        <w:contextualSpacing w:val="0"/>
      </w:pPr>
      <w:r w:rsidRPr="0059218B">
        <w:rPr>
          <w:b/>
          <w:bCs/>
        </w:rPr>
        <w:t>Make the most of communal workspaces.</w:t>
      </w:r>
      <w:r w:rsidRPr="0059218B">
        <w:t xml:space="preserve"> If you have communal workspaces onsite (e.g. employee</w:t>
      </w:r>
      <w:r w:rsidR="005A04BE" w:rsidRPr="0059218B">
        <w:t xml:space="preserve"> kitchen or</w:t>
      </w:r>
      <w:r w:rsidRPr="0059218B">
        <w:t xml:space="preserve"> lunch areas)</w:t>
      </w:r>
      <w:r w:rsidR="004B1F82">
        <w:t>,</w:t>
      </w:r>
      <w:r w:rsidRPr="0059218B">
        <w:t xml:space="preserve"> consider </w:t>
      </w:r>
      <w:r w:rsidR="00C23070">
        <w:t>loading your D&amp;I survey onto shared</w:t>
      </w:r>
      <w:r w:rsidR="00C23070" w:rsidRPr="0059218B">
        <w:t xml:space="preserve"> </w:t>
      </w:r>
      <w:r w:rsidRPr="0059218B">
        <w:t>tablets and computers for people to use</w:t>
      </w:r>
      <w:r w:rsidR="00A07878">
        <w:t xml:space="preserve"> there</w:t>
      </w:r>
      <w:r w:rsidR="0008536F">
        <w:t>, or displaying a poster with a QR code</w:t>
      </w:r>
      <w:r w:rsidRPr="0059218B">
        <w:t xml:space="preserve">. </w:t>
      </w:r>
    </w:p>
    <w:p w14:paraId="5A65CDA0" w14:textId="1BBA2973" w:rsidR="00387E96" w:rsidRPr="0059218B" w:rsidRDefault="150B919F" w:rsidP="41ED6CC6">
      <w:pPr>
        <w:pStyle w:val="ListParagraph"/>
        <w:numPr>
          <w:ilvl w:val="0"/>
          <w:numId w:val="12"/>
        </w:numPr>
        <w:ind w:left="714" w:hanging="357"/>
      </w:pPr>
      <w:r w:rsidRPr="41ED6CC6">
        <w:rPr>
          <w:b/>
          <w:bCs/>
        </w:rPr>
        <w:t>Update on results.</w:t>
      </w:r>
      <w:r w:rsidRPr="41ED6CC6">
        <w:t xml:space="preserve"> Communicate halfway through your survey period to update employees with some summary findings. This can encourage employees and show them that the data is being collected for a reason.  </w:t>
      </w:r>
    </w:p>
    <w:p w14:paraId="1AB5949C" w14:textId="468E39D4" w:rsidR="00B70350" w:rsidRPr="0059218B" w:rsidRDefault="00855BF1" w:rsidP="00BD1836">
      <w:pPr>
        <w:pStyle w:val="Heading3"/>
      </w:pPr>
      <w:r w:rsidRPr="0059218B">
        <w:t xml:space="preserve">Build </w:t>
      </w:r>
      <w:r w:rsidR="00C23070">
        <w:t xml:space="preserve">employee </w:t>
      </w:r>
      <w:r w:rsidR="00030A20" w:rsidRPr="0059218B">
        <w:t>c</w:t>
      </w:r>
      <w:r w:rsidRPr="0059218B">
        <w:t xml:space="preserve">onfidence in </w:t>
      </w:r>
      <w:r w:rsidR="00030A20" w:rsidRPr="0059218B">
        <w:t>d</w:t>
      </w:r>
      <w:r w:rsidRPr="0059218B">
        <w:t xml:space="preserve">ata </w:t>
      </w:r>
      <w:r w:rsidR="00030A20" w:rsidRPr="0059218B">
        <w:t>p</w:t>
      </w:r>
      <w:r w:rsidRPr="0059218B">
        <w:t xml:space="preserve">rivacy </w:t>
      </w:r>
    </w:p>
    <w:p w14:paraId="1E66C317" w14:textId="2824A2B8" w:rsidR="00D64CD2" w:rsidRPr="0059218B" w:rsidRDefault="00577C3C" w:rsidP="00D64CD2">
      <w:pPr>
        <w:rPr>
          <w:szCs w:val="24"/>
        </w:rPr>
      </w:pPr>
      <w:r w:rsidRPr="0059218B">
        <w:rPr>
          <w:b/>
          <w:bCs/>
          <w:szCs w:val="24"/>
        </w:rPr>
        <w:t xml:space="preserve">Why? </w:t>
      </w:r>
      <w:r w:rsidR="006D5DCB" w:rsidRPr="0059218B">
        <w:rPr>
          <w:szCs w:val="24"/>
        </w:rPr>
        <w:t>Many employees have privacy concerns about the D&amp;I information they share. These concerns are understandable –</w:t>
      </w:r>
      <w:r w:rsidR="00C23070">
        <w:rPr>
          <w:szCs w:val="24"/>
        </w:rPr>
        <w:t xml:space="preserve"> </w:t>
      </w:r>
      <w:r w:rsidR="006D5DCB" w:rsidRPr="0059218B">
        <w:rPr>
          <w:szCs w:val="24"/>
        </w:rPr>
        <w:t xml:space="preserve">data breaches </w:t>
      </w:r>
      <w:r w:rsidR="00C23070">
        <w:rPr>
          <w:szCs w:val="24"/>
        </w:rPr>
        <w:t xml:space="preserve">in high-profile companies </w:t>
      </w:r>
      <w:r w:rsidR="006D5DCB" w:rsidRPr="0059218B">
        <w:rPr>
          <w:szCs w:val="24"/>
        </w:rPr>
        <w:t>are commonly reported on</w:t>
      </w:r>
      <w:r w:rsidR="0097620B" w:rsidRPr="0059218B">
        <w:rPr>
          <w:szCs w:val="24"/>
        </w:rPr>
        <w:t>.</w:t>
      </w:r>
      <w:r w:rsidR="00D64CD2" w:rsidRPr="0059218B">
        <w:rPr>
          <w:szCs w:val="24"/>
        </w:rPr>
        <w:t xml:space="preserve"> Employees from marginalised backgrounds can</w:t>
      </w:r>
      <w:r w:rsidR="00614C30" w:rsidRPr="0059218B">
        <w:rPr>
          <w:szCs w:val="24"/>
        </w:rPr>
        <w:t xml:space="preserve"> </w:t>
      </w:r>
      <w:r w:rsidR="00D64CD2" w:rsidRPr="0059218B">
        <w:rPr>
          <w:szCs w:val="24"/>
        </w:rPr>
        <w:t xml:space="preserve">be even more </w:t>
      </w:r>
      <w:r w:rsidR="00FB0E32" w:rsidRPr="0059218B">
        <w:rPr>
          <w:szCs w:val="24"/>
        </w:rPr>
        <w:t>hesitant</w:t>
      </w:r>
      <w:r w:rsidR="00D64CD2" w:rsidRPr="0059218B">
        <w:rPr>
          <w:szCs w:val="24"/>
        </w:rPr>
        <w:t xml:space="preserve"> to provid</w:t>
      </w:r>
      <w:r w:rsidR="00DC3D7D" w:rsidRPr="0059218B">
        <w:rPr>
          <w:szCs w:val="24"/>
        </w:rPr>
        <w:t>e</w:t>
      </w:r>
      <w:r w:rsidR="00D64CD2" w:rsidRPr="0059218B">
        <w:rPr>
          <w:szCs w:val="24"/>
        </w:rPr>
        <w:t xml:space="preserve"> D&amp;I data</w:t>
      </w:r>
      <w:r w:rsidR="00614C30" w:rsidRPr="0059218B">
        <w:rPr>
          <w:szCs w:val="24"/>
        </w:rPr>
        <w:t xml:space="preserve">, particularly if they experienced </w:t>
      </w:r>
      <w:r w:rsidR="003615B3">
        <w:rPr>
          <w:szCs w:val="24"/>
        </w:rPr>
        <w:t xml:space="preserve">negative treatment </w:t>
      </w:r>
      <w:r w:rsidR="00CA42D4" w:rsidRPr="0059218B">
        <w:rPr>
          <w:szCs w:val="24"/>
        </w:rPr>
        <w:t xml:space="preserve">when </w:t>
      </w:r>
      <w:r w:rsidR="003615B3">
        <w:rPr>
          <w:szCs w:val="24"/>
        </w:rPr>
        <w:t>sharing</w:t>
      </w:r>
      <w:r w:rsidR="00CA42D4" w:rsidRPr="0059218B">
        <w:rPr>
          <w:szCs w:val="24"/>
        </w:rPr>
        <w:t xml:space="preserve"> this information </w:t>
      </w:r>
      <w:r w:rsidR="00BD3FCF" w:rsidRPr="0059218B">
        <w:rPr>
          <w:szCs w:val="24"/>
        </w:rPr>
        <w:t xml:space="preserve">in the past. </w:t>
      </w:r>
    </w:p>
    <w:p w14:paraId="67570A8A" w14:textId="4A6A48C0" w:rsidR="00D64CD2" w:rsidRPr="0059218B" w:rsidRDefault="00577C3C" w:rsidP="00D64CD2">
      <w:pPr>
        <w:rPr>
          <w:szCs w:val="24"/>
        </w:rPr>
      </w:pPr>
      <w:r w:rsidRPr="0059218B">
        <w:rPr>
          <w:b/>
          <w:bCs/>
          <w:szCs w:val="24"/>
        </w:rPr>
        <w:t xml:space="preserve">How? </w:t>
      </w:r>
      <w:r w:rsidR="00D64CD2" w:rsidRPr="0059218B">
        <w:rPr>
          <w:szCs w:val="24"/>
        </w:rPr>
        <w:t xml:space="preserve">Ensure any communications around D&amp;I data collection </w:t>
      </w:r>
      <w:r w:rsidR="00BD3FCF" w:rsidRPr="0059218B">
        <w:rPr>
          <w:szCs w:val="24"/>
        </w:rPr>
        <w:t>build</w:t>
      </w:r>
      <w:r w:rsidR="00D64CD2" w:rsidRPr="0059218B">
        <w:rPr>
          <w:szCs w:val="24"/>
        </w:rPr>
        <w:t xml:space="preserve"> confidence in the privacy of the data. C</w:t>
      </w:r>
      <w:r w:rsidR="003615B3">
        <w:rPr>
          <w:szCs w:val="24"/>
        </w:rPr>
        <w:t>learly c</w:t>
      </w:r>
      <w:r w:rsidR="00D64CD2" w:rsidRPr="0059218B">
        <w:rPr>
          <w:szCs w:val="24"/>
        </w:rPr>
        <w:t xml:space="preserve">ommunicate </w:t>
      </w:r>
      <w:r w:rsidR="003615B3">
        <w:rPr>
          <w:szCs w:val="24"/>
        </w:rPr>
        <w:t xml:space="preserve">the following points </w:t>
      </w:r>
      <w:r w:rsidR="00D64CD2" w:rsidRPr="0059218B">
        <w:rPr>
          <w:szCs w:val="24"/>
        </w:rPr>
        <w:t>to your employees</w:t>
      </w:r>
      <w:r w:rsidR="003615B3">
        <w:rPr>
          <w:szCs w:val="24"/>
        </w:rPr>
        <w:t xml:space="preserve"> and link to your privacy policy:</w:t>
      </w:r>
      <w:r w:rsidR="00D64CD2" w:rsidRPr="0059218B">
        <w:rPr>
          <w:szCs w:val="24"/>
        </w:rPr>
        <w:t xml:space="preserve"> </w:t>
      </w:r>
    </w:p>
    <w:p w14:paraId="113C5163" w14:textId="528D6E7A" w:rsidR="00D64CD2" w:rsidRPr="0059218B" w:rsidRDefault="00D64CD2" w:rsidP="00337E92">
      <w:pPr>
        <w:pStyle w:val="ListParagraph"/>
        <w:numPr>
          <w:ilvl w:val="0"/>
          <w:numId w:val="13"/>
        </w:numPr>
        <w:ind w:left="714" w:hanging="357"/>
        <w:contextualSpacing w:val="0"/>
      </w:pPr>
      <w:r w:rsidRPr="0059218B">
        <w:t xml:space="preserve">Why </w:t>
      </w:r>
      <w:r w:rsidR="003615B3">
        <w:t>are you</w:t>
      </w:r>
      <w:r w:rsidRPr="0059218B">
        <w:t xml:space="preserve"> collecting the data</w:t>
      </w:r>
      <w:r w:rsidR="003615B3">
        <w:t>? W</w:t>
      </w:r>
      <w:r w:rsidRPr="0059218B">
        <w:t xml:space="preserve">hat </w:t>
      </w:r>
      <w:r w:rsidR="003615B3">
        <w:t>will it</w:t>
      </w:r>
      <w:r w:rsidRPr="0059218B">
        <w:t xml:space="preserve"> be used for</w:t>
      </w:r>
      <w:r w:rsidR="003615B3">
        <w:t>?</w:t>
      </w:r>
      <w:r w:rsidRPr="0059218B">
        <w:t xml:space="preserve"> </w:t>
      </w:r>
    </w:p>
    <w:p w14:paraId="1B894487" w14:textId="389FAD94" w:rsidR="003615B3" w:rsidRDefault="003615B3" w:rsidP="003615B3">
      <w:pPr>
        <w:pStyle w:val="ListParagraph"/>
        <w:numPr>
          <w:ilvl w:val="0"/>
          <w:numId w:val="13"/>
        </w:numPr>
        <w:ind w:left="714" w:hanging="357"/>
        <w:contextualSpacing w:val="0"/>
      </w:pPr>
      <w:r w:rsidRPr="0059218B">
        <w:t xml:space="preserve">What </w:t>
      </w:r>
      <w:r>
        <w:t xml:space="preserve">is </w:t>
      </w:r>
      <w:r w:rsidRPr="0059218B">
        <w:t>the security around the data</w:t>
      </w:r>
      <w:r>
        <w:t>?</w:t>
      </w:r>
    </w:p>
    <w:p w14:paraId="1573F93B" w14:textId="41C74CAC" w:rsidR="003615B3" w:rsidRDefault="003615B3" w:rsidP="003615B3">
      <w:pPr>
        <w:pStyle w:val="ListParagraph"/>
        <w:numPr>
          <w:ilvl w:val="0"/>
          <w:numId w:val="13"/>
        </w:numPr>
        <w:ind w:left="714" w:hanging="357"/>
        <w:contextualSpacing w:val="0"/>
      </w:pPr>
      <w:r>
        <w:t>W</w:t>
      </w:r>
      <w:r w:rsidRPr="0059218B">
        <w:t>ho will have access to the data at an individual level</w:t>
      </w:r>
      <w:r>
        <w:t>?</w:t>
      </w:r>
      <w:r w:rsidRPr="0059218B">
        <w:t xml:space="preserve"> (</w:t>
      </w:r>
      <w:r>
        <w:t>A</w:t>
      </w:r>
      <w:r w:rsidRPr="0059218B">
        <w:t xml:space="preserve"> common employee fear is not knowing who will be able to see this data</w:t>
      </w:r>
      <w:r>
        <w:t xml:space="preserve">, </w:t>
      </w:r>
      <w:r w:rsidRPr="0059218B">
        <w:t>including whether their manager can</w:t>
      </w:r>
      <w:r>
        <w:t>.</w:t>
      </w:r>
      <w:r w:rsidRPr="0059218B">
        <w:t xml:space="preserve">) </w:t>
      </w:r>
    </w:p>
    <w:p w14:paraId="15E8FD9E" w14:textId="42D506EB" w:rsidR="003615B3" w:rsidRPr="0059218B" w:rsidRDefault="003615B3" w:rsidP="000D33EA">
      <w:r>
        <w:t>Also make it clear that:</w:t>
      </w:r>
    </w:p>
    <w:p w14:paraId="382D91E0" w14:textId="700AF318" w:rsidR="003615B3" w:rsidRDefault="003615B3" w:rsidP="00337E92">
      <w:pPr>
        <w:pStyle w:val="ListParagraph"/>
        <w:numPr>
          <w:ilvl w:val="0"/>
          <w:numId w:val="13"/>
        </w:numPr>
        <w:ind w:left="714" w:hanging="357"/>
        <w:contextualSpacing w:val="0"/>
      </w:pPr>
      <w:r>
        <w:t>d</w:t>
      </w:r>
      <w:r w:rsidR="009740DE" w:rsidRPr="0059218B">
        <w:t>isclos</w:t>
      </w:r>
      <w:r>
        <w:t>ing</w:t>
      </w:r>
      <w:r w:rsidR="009740DE" w:rsidRPr="0059218B">
        <w:t xml:space="preserve"> information is voluntary</w:t>
      </w:r>
      <w:r>
        <w:t xml:space="preserve"> </w:t>
      </w:r>
      <w:r w:rsidRPr="0059218B">
        <w:t xml:space="preserve">and </w:t>
      </w:r>
      <w:r>
        <w:t>questions will include</w:t>
      </w:r>
      <w:r w:rsidRPr="0059218B">
        <w:t xml:space="preserve"> “</w:t>
      </w:r>
      <w:r w:rsidR="00E74575">
        <w:t>P</w:t>
      </w:r>
      <w:r w:rsidRPr="0059218B">
        <w:t>refer not</w:t>
      </w:r>
      <w:r w:rsidR="00A07878">
        <w:t xml:space="preserve"> to</w:t>
      </w:r>
      <w:r w:rsidRPr="0059218B">
        <w:t xml:space="preserve"> say”</w:t>
      </w:r>
      <w:r>
        <w:t xml:space="preserve"> response options</w:t>
      </w:r>
    </w:p>
    <w:p w14:paraId="0B82E8DF" w14:textId="7F6ADCFD" w:rsidR="00D64CD2" w:rsidRPr="0059218B" w:rsidRDefault="009740DE" w:rsidP="00337E92">
      <w:pPr>
        <w:pStyle w:val="ListParagraph"/>
        <w:numPr>
          <w:ilvl w:val="0"/>
          <w:numId w:val="13"/>
        </w:numPr>
        <w:ind w:left="714" w:hanging="357"/>
        <w:contextualSpacing w:val="0"/>
      </w:pPr>
      <w:r w:rsidRPr="0059218B">
        <w:t xml:space="preserve">employees can remove their data at any </w:t>
      </w:r>
      <w:r w:rsidR="00DC679B" w:rsidRPr="0059218B">
        <w:t>time</w:t>
      </w:r>
    </w:p>
    <w:p w14:paraId="1771FE7A" w14:textId="795F3E5C" w:rsidR="00561063" w:rsidRPr="0059218B" w:rsidRDefault="150B919F" w:rsidP="150B919F">
      <w:pPr>
        <w:pStyle w:val="ListParagraph"/>
        <w:numPr>
          <w:ilvl w:val="0"/>
          <w:numId w:val="13"/>
        </w:numPr>
        <w:ind w:left="714" w:hanging="357"/>
      </w:pPr>
      <w:r w:rsidRPr="41ED6CC6">
        <w:t>data will only be reported in a way that ensures individual employees are not identified.</w:t>
      </w:r>
    </w:p>
    <w:p w14:paraId="0EDFDB73" w14:textId="53BD9D95" w:rsidR="005A04BE" w:rsidRPr="0059218B" w:rsidRDefault="005A04BE" w:rsidP="00BD1836">
      <w:pPr>
        <w:pStyle w:val="Heading3"/>
      </w:pPr>
      <w:r w:rsidRPr="0059218B">
        <w:t xml:space="preserve">Make sure your D&amp;I data collection materials are accessible </w:t>
      </w:r>
    </w:p>
    <w:p w14:paraId="5F57F77A" w14:textId="7C986BA9" w:rsidR="00D312DF" w:rsidRPr="0059218B" w:rsidRDefault="005A04BE" w:rsidP="41ED6CC6">
      <w:pPr>
        <w:rPr>
          <w:b/>
          <w:bCs/>
        </w:rPr>
      </w:pPr>
      <w:r w:rsidRPr="41ED6CC6">
        <w:rPr>
          <w:b/>
          <w:bCs/>
        </w:rPr>
        <w:t xml:space="preserve">Why? </w:t>
      </w:r>
      <w:r w:rsidRPr="41ED6CC6">
        <w:t xml:space="preserve">Employees who use screen readers and other assistive technology often find platforms and materials inaccessible. </w:t>
      </w:r>
      <w:r w:rsidR="000F4608" w:rsidRPr="41ED6CC6">
        <w:t>S</w:t>
      </w:r>
      <w:r w:rsidRPr="41ED6CC6">
        <w:t xml:space="preserve">ome employees </w:t>
      </w:r>
      <w:r w:rsidR="003615B3" w:rsidRPr="41ED6CC6">
        <w:t xml:space="preserve">will also </w:t>
      </w:r>
      <w:r w:rsidRPr="41ED6CC6">
        <w:t xml:space="preserve">find it harder to follow survey and HRIS forms when </w:t>
      </w:r>
      <w:r w:rsidR="003615B3" w:rsidRPr="41ED6CC6">
        <w:t xml:space="preserve">the </w:t>
      </w:r>
      <w:r w:rsidRPr="41ED6CC6">
        <w:t>language and instructions are unclear.</w:t>
      </w:r>
      <w:r w:rsidRPr="41ED6CC6">
        <w:rPr>
          <w:rStyle w:val="EndnoteReference"/>
        </w:rPr>
        <w:endnoteReference w:id="10"/>
      </w:r>
      <w:r w:rsidRPr="41ED6CC6">
        <w:t xml:space="preserve"> </w:t>
      </w:r>
      <w:r w:rsidR="00864396" w:rsidRPr="41ED6CC6">
        <w:t xml:space="preserve">If </w:t>
      </w:r>
      <w:r w:rsidR="00D312DF" w:rsidRPr="41ED6CC6">
        <w:t xml:space="preserve">employees </w:t>
      </w:r>
      <w:r w:rsidR="00864396" w:rsidRPr="41ED6CC6">
        <w:t xml:space="preserve">struggle </w:t>
      </w:r>
      <w:r w:rsidR="00D312DF" w:rsidRPr="41ED6CC6">
        <w:t>to share their diversity information and inclusion experiences</w:t>
      </w:r>
      <w:r w:rsidR="00864396" w:rsidRPr="41ED6CC6">
        <w:t>,</w:t>
      </w:r>
      <w:r w:rsidR="00D312DF" w:rsidRPr="41ED6CC6">
        <w:t xml:space="preserve"> </w:t>
      </w:r>
      <w:r w:rsidR="00936DAB">
        <w:t>you will not be able to use these perspectives to inform your D&amp;I work and address their workplace concerns.</w:t>
      </w:r>
      <w:r w:rsidR="00936DAB" w:rsidRPr="41ED6CC6" w:rsidDel="00936DAB">
        <w:t xml:space="preserve"> </w:t>
      </w:r>
    </w:p>
    <w:p w14:paraId="0F7D97D8" w14:textId="407FC8D6" w:rsidR="005A04BE" w:rsidRPr="0059218B" w:rsidRDefault="005A04BE" w:rsidP="005A04BE">
      <w:pPr>
        <w:rPr>
          <w:szCs w:val="24"/>
        </w:rPr>
      </w:pPr>
      <w:r w:rsidRPr="0059218B">
        <w:rPr>
          <w:b/>
          <w:bCs/>
          <w:szCs w:val="24"/>
        </w:rPr>
        <w:t>How?</w:t>
      </w:r>
      <w:r w:rsidRPr="0059218B">
        <w:rPr>
          <w:szCs w:val="24"/>
        </w:rPr>
        <w:t xml:space="preserve"> Check for accessibility before asking employees to take a D&amp;I survey or self</w:t>
      </w:r>
      <w:r w:rsidR="00DC679B" w:rsidRPr="0059218B">
        <w:rPr>
          <w:szCs w:val="24"/>
        </w:rPr>
        <w:t>-</w:t>
      </w:r>
      <w:r w:rsidRPr="0059218B">
        <w:rPr>
          <w:szCs w:val="24"/>
        </w:rPr>
        <w:t>report in an HRIS.</w:t>
      </w:r>
      <w:r w:rsidR="00DC679B" w:rsidRPr="0059218B">
        <w:rPr>
          <w:szCs w:val="24"/>
        </w:rPr>
        <w:t xml:space="preserve"> Use </w:t>
      </w:r>
      <w:r w:rsidR="00DC679B" w:rsidRPr="002753DD">
        <w:rPr>
          <w:szCs w:val="24"/>
        </w:rPr>
        <w:t xml:space="preserve">Lever 2: Inclusive Communication of </w:t>
      </w:r>
      <w:r w:rsidR="00864396" w:rsidRPr="002753DD">
        <w:rPr>
          <w:szCs w:val="24"/>
        </w:rPr>
        <w:t>DCA’s</w:t>
      </w:r>
      <w:r w:rsidR="00DC679B" w:rsidRPr="002753DD">
        <w:rPr>
          <w:szCs w:val="24"/>
        </w:rPr>
        <w:t xml:space="preserve"> </w:t>
      </w:r>
      <w:hyperlink r:id="rId17" w:history="1">
        <w:r w:rsidR="00DC679B" w:rsidRPr="002753DD">
          <w:rPr>
            <w:rStyle w:val="Hyperlink"/>
            <w:szCs w:val="24"/>
          </w:rPr>
          <w:t xml:space="preserve">Inclusive Teams at Work </w:t>
        </w:r>
        <w:r w:rsidR="00B638B2" w:rsidRPr="002753DD">
          <w:rPr>
            <w:rStyle w:val="Hyperlink"/>
            <w:szCs w:val="24"/>
          </w:rPr>
          <w:t>T</w:t>
        </w:r>
        <w:r w:rsidR="00DC679B" w:rsidRPr="002753DD">
          <w:rPr>
            <w:rStyle w:val="Hyperlink"/>
            <w:szCs w:val="24"/>
          </w:rPr>
          <w:t>oolkit</w:t>
        </w:r>
      </w:hyperlink>
      <w:r w:rsidR="00DC679B" w:rsidRPr="0059218B">
        <w:rPr>
          <w:szCs w:val="24"/>
        </w:rPr>
        <w:t xml:space="preserve"> for </w:t>
      </w:r>
      <w:r w:rsidR="00DA72BD" w:rsidRPr="0059218B">
        <w:rPr>
          <w:szCs w:val="24"/>
        </w:rPr>
        <w:t xml:space="preserve">more </w:t>
      </w:r>
      <w:r w:rsidR="00DC679B" w:rsidRPr="0059218B">
        <w:rPr>
          <w:szCs w:val="24"/>
        </w:rPr>
        <w:t xml:space="preserve">information. </w:t>
      </w:r>
    </w:p>
    <w:p w14:paraId="1551DBD3" w14:textId="5612B3A4" w:rsidR="005A04BE" w:rsidRPr="0059218B" w:rsidRDefault="005A04BE" w:rsidP="00337E92">
      <w:pPr>
        <w:pStyle w:val="ListParagraph"/>
        <w:numPr>
          <w:ilvl w:val="0"/>
          <w:numId w:val="29"/>
        </w:numPr>
        <w:ind w:left="714" w:hanging="357"/>
        <w:contextualSpacing w:val="0"/>
        <w:rPr>
          <w:b/>
          <w:bCs/>
        </w:rPr>
      </w:pPr>
      <w:r w:rsidRPr="0059218B">
        <w:rPr>
          <w:b/>
          <w:bCs/>
          <w:szCs w:val="24"/>
        </w:rPr>
        <w:t>Check the accessibility features</w:t>
      </w:r>
      <w:r w:rsidRPr="0059218B">
        <w:rPr>
          <w:szCs w:val="24"/>
        </w:rPr>
        <w:t xml:space="preserve"> </w:t>
      </w:r>
      <w:r w:rsidRPr="0059218B">
        <w:rPr>
          <w:b/>
          <w:bCs/>
          <w:szCs w:val="24"/>
        </w:rPr>
        <w:t>of your data collection platforms.</w:t>
      </w:r>
      <w:r w:rsidRPr="0059218B">
        <w:rPr>
          <w:szCs w:val="24"/>
        </w:rPr>
        <w:t xml:space="preserve"> For example, if </w:t>
      </w:r>
      <w:r w:rsidR="00864396">
        <w:rPr>
          <w:szCs w:val="24"/>
        </w:rPr>
        <w:t xml:space="preserve">you are </w:t>
      </w:r>
      <w:r w:rsidRPr="0059218B">
        <w:rPr>
          <w:szCs w:val="24"/>
        </w:rPr>
        <w:t xml:space="preserve">using SurveyMonkey, check </w:t>
      </w:r>
      <w:r w:rsidR="00864396">
        <w:rPr>
          <w:szCs w:val="24"/>
        </w:rPr>
        <w:t>its</w:t>
      </w:r>
      <w:r w:rsidRPr="0059218B">
        <w:rPr>
          <w:szCs w:val="24"/>
        </w:rPr>
        <w:t xml:space="preserve"> resources on how to make your survey accessible for screen readers. </w:t>
      </w:r>
      <w:r w:rsidR="00864396">
        <w:rPr>
          <w:szCs w:val="24"/>
        </w:rPr>
        <w:t>For</w:t>
      </w:r>
      <w:r w:rsidR="00DC679B" w:rsidRPr="0059218B">
        <w:rPr>
          <w:szCs w:val="24"/>
        </w:rPr>
        <w:t xml:space="preserve"> an HRIS, check with your provider about the accessibility of their platform. </w:t>
      </w:r>
    </w:p>
    <w:p w14:paraId="7773DA6D" w14:textId="5198251F" w:rsidR="00126E4D" w:rsidRPr="0059218B" w:rsidRDefault="00126E4D" w:rsidP="00337E92">
      <w:pPr>
        <w:pStyle w:val="ListParagraph"/>
        <w:numPr>
          <w:ilvl w:val="0"/>
          <w:numId w:val="29"/>
        </w:numPr>
        <w:ind w:left="714" w:hanging="357"/>
        <w:contextualSpacing w:val="0"/>
        <w:rPr>
          <w:b/>
          <w:bCs/>
        </w:rPr>
      </w:pPr>
      <w:r w:rsidRPr="00145A4C">
        <w:rPr>
          <w:b/>
          <w:bCs/>
        </w:rPr>
        <w:t>Make your</w:t>
      </w:r>
      <w:r w:rsidRPr="0059218B">
        <w:t xml:space="preserve"> </w:t>
      </w:r>
      <w:r w:rsidRPr="0059218B">
        <w:rPr>
          <w:b/>
          <w:bCs/>
        </w:rPr>
        <w:t xml:space="preserve">communications about taking a survey or self-reporting accessible. </w:t>
      </w:r>
      <w:r w:rsidRPr="0059218B">
        <w:t>Use in</w:t>
      </w:r>
      <w:r w:rsidR="00864396">
        <w:t>-</w:t>
      </w:r>
      <w:r w:rsidRPr="0059218B">
        <w:t xml:space="preserve">built accessibility features like </w:t>
      </w:r>
      <w:hyperlink r:id="rId18" w:history="1">
        <w:r w:rsidRPr="0059218B">
          <w:rPr>
            <w:rStyle w:val="Hyperlink"/>
          </w:rPr>
          <w:t>Microsoft’s Accessibility Checker</w:t>
        </w:r>
      </w:hyperlink>
      <w:r w:rsidRPr="0059218B">
        <w:t xml:space="preserve"> for its Office suite and Vision Australia’s </w:t>
      </w:r>
      <w:hyperlink r:id="rId19" w:history="1">
        <w:r w:rsidRPr="0059218B">
          <w:rPr>
            <w:rStyle w:val="Hyperlink"/>
          </w:rPr>
          <w:t>Document Accessibility Toolbar</w:t>
        </w:r>
      </w:hyperlink>
      <w:r w:rsidRPr="0059218B">
        <w:t xml:space="preserve">. </w:t>
      </w:r>
      <w:r w:rsidR="00C22C9B">
        <w:t xml:space="preserve">Avoid using PDFs as these are often inaccessible with screen reader technology. </w:t>
      </w:r>
    </w:p>
    <w:p w14:paraId="3261358F" w14:textId="2CD216C1" w:rsidR="005A04BE" w:rsidRPr="006661A0" w:rsidRDefault="00864396" w:rsidP="00337E92">
      <w:pPr>
        <w:pStyle w:val="ListParagraph"/>
        <w:numPr>
          <w:ilvl w:val="0"/>
          <w:numId w:val="29"/>
        </w:numPr>
        <w:ind w:left="714" w:hanging="357"/>
        <w:contextualSpacing w:val="0"/>
        <w:rPr>
          <w:b/>
          <w:bCs/>
        </w:rPr>
      </w:pPr>
      <w:r w:rsidRPr="00145A4C">
        <w:rPr>
          <w:b/>
          <w:bCs/>
          <w:szCs w:val="24"/>
        </w:rPr>
        <w:t>Write your questions and</w:t>
      </w:r>
      <w:r w:rsidR="005A04BE" w:rsidRPr="00145A4C">
        <w:rPr>
          <w:b/>
          <w:bCs/>
          <w:szCs w:val="24"/>
        </w:rPr>
        <w:t xml:space="preserve"> </w:t>
      </w:r>
      <w:r w:rsidR="00DC679B" w:rsidRPr="00145A4C">
        <w:rPr>
          <w:b/>
          <w:bCs/>
          <w:szCs w:val="24"/>
        </w:rPr>
        <w:t xml:space="preserve">related </w:t>
      </w:r>
      <w:r w:rsidR="005A04BE" w:rsidRPr="00145A4C">
        <w:rPr>
          <w:b/>
          <w:bCs/>
          <w:szCs w:val="24"/>
        </w:rPr>
        <w:t xml:space="preserve">materials </w:t>
      </w:r>
      <w:r w:rsidRPr="00145A4C">
        <w:rPr>
          <w:b/>
          <w:bCs/>
          <w:szCs w:val="24"/>
        </w:rPr>
        <w:t xml:space="preserve">in </w:t>
      </w:r>
      <w:r w:rsidR="0039035D" w:rsidRPr="00864396">
        <w:rPr>
          <w:b/>
          <w:bCs/>
          <w:szCs w:val="24"/>
        </w:rPr>
        <w:t>plain</w:t>
      </w:r>
      <w:r w:rsidR="0039035D" w:rsidRPr="0059218B">
        <w:rPr>
          <w:b/>
          <w:bCs/>
          <w:szCs w:val="24"/>
        </w:rPr>
        <w:t xml:space="preserve"> language</w:t>
      </w:r>
      <w:r>
        <w:rPr>
          <w:b/>
          <w:bCs/>
          <w:szCs w:val="24"/>
        </w:rPr>
        <w:t>.</w:t>
      </w:r>
      <w:r w:rsidR="005A04BE" w:rsidRPr="0059218B">
        <w:rPr>
          <w:szCs w:val="24"/>
        </w:rPr>
        <w:t xml:space="preserve"> </w:t>
      </w:r>
      <w:r>
        <w:rPr>
          <w:szCs w:val="24"/>
        </w:rPr>
        <w:t>Check that</w:t>
      </w:r>
      <w:r w:rsidR="005A04BE" w:rsidRPr="0059218B">
        <w:rPr>
          <w:szCs w:val="24"/>
        </w:rPr>
        <w:t xml:space="preserve"> instructions are easy </w:t>
      </w:r>
      <w:r w:rsidR="00F10D1B" w:rsidRPr="0059218B">
        <w:rPr>
          <w:szCs w:val="24"/>
        </w:rPr>
        <w:t>to</w:t>
      </w:r>
      <w:r w:rsidR="005A04BE" w:rsidRPr="0059218B">
        <w:rPr>
          <w:szCs w:val="24"/>
        </w:rPr>
        <w:t xml:space="preserve"> follow and </w:t>
      </w:r>
      <w:r>
        <w:rPr>
          <w:szCs w:val="24"/>
        </w:rPr>
        <w:t>suitable for their intended readers</w:t>
      </w:r>
      <w:r w:rsidR="005A04BE" w:rsidRPr="0059218B">
        <w:rPr>
          <w:szCs w:val="24"/>
        </w:rPr>
        <w:t xml:space="preserve">. </w:t>
      </w:r>
      <w:r w:rsidR="00DC679B" w:rsidRPr="0059218B">
        <w:rPr>
          <w:szCs w:val="24"/>
        </w:rPr>
        <w:t xml:space="preserve">Use tools like </w:t>
      </w:r>
      <w:hyperlink r:id="rId20" w:history="1">
        <w:r w:rsidR="00DC679B" w:rsidRPr="0059218B">
          <w:rPr>
            <w:rStyle w:val="Hyperlink"/>
            <w:szCs w:val="24"/>
          </w:rPr>
          <w:t>Hemingway Editor</w:t>
        </w:r>
      </w:hyperlink>
      <w:r w:rsidR="00DC679B" w:rsidRPr="0059218B">
        <w:rPr>
          <w:szCs w:val="24"/>
        </w:rPr>
        <w:t xml:space="preserve"> to </w:t>
      </w:r>
      <w:r>
        <w:rPr>
          <w:szCs w:val="24"/>
        </w:rPr>
        <w:t>help</w:t>
      </w:r>
      <w:r w:rsidRPr="0059218B">
        <w:rPr>
          <w:szCs w:val="24"/>
        </w:rPr>
        <w:t xml:space="preserve"> </w:t>
      </w:r>
      <w:r w:rsidR="00DC679B" w:rsidRPr="0059218B">
        <w:rPr>
          <w:szCs w:val="24"/>
        </w:rPr>
        <w:t xml:space="preserve">in this. </w:t>
      </w:r>
    </w:p>
    <w:p w14:paraId="0268C480" w14:textId="567BF03C" w:rsidR="00050C89" w:rsidRPr="00BD1836" w:rsidRDefault="00050C89" w:rsidP="00337E92">
      <w:pPr>
        <w:pStyle w:val="ListParagraph"/>
        <w:numPr>
          <w:ilvl w:val="0"/>
          <w:numId w:val="29"/>
        </w:numPr>
        <w:ind w:left="714" w:hanging="357"/>
        <w:contextualSpacing w:val="0"/>
        <w:rPr>
          <w:b/>
          <w:bCs/>
        </w:rPr>
      </w:pPr>
      <w:r w:rsidRPr="006661A0">
        <w:rPr>
          <w:b/>
          <w:bCs/>
          <w:szCs w:val="24"/>
        </w:rPr>
        <w:t xml:space="preserve">Test </w:t>
      </w:r>
      <w:r w:rsidR="00055C7F" w:rsidRPr="006661A0">
        <w:rPr>
          <w:b/>
          <w:bCs/>
          <w:szCs w:val="24"/>
        </w:rPr>
        <w:t xml:space="preserve">for </w:t>
      </w:r>
      <w:r w:rsidRPr="006661A0">
        <w:rPr>
          <w:b/>
          <w:bCs/>
          <w:szCs w:val="24"/>
        </w:rPr>
        <w:t>access and understanding</w:t>
      </w:r>
      <w:r w:rsidR="00055C7F" w:rsidRPr="006661A0">
        <w:rPr>
          <w:b/>
          <w:bCs/>
          <w:szCs w:val="24"/>
        </w:rPr>
        <w:t xml:space="preserve">. </w:t>
      </w:r>
      <w:r>
        <w:rPr>
          <w:szCs w:val="24"/>
        </w:rPr>
        <w:t xml:space="preserve">Where possible, test </w:t>
      </w:r>
      <w:r w:rsidR="00055C7F">
        <w:rPr>
          <w:szCs w:val="24"/>
        </w:rPr>
        <w:t xml:space="preserve">your data collection platforms </w:t>
      </w:r>
      <w:r>
        <w:rPr>
          <w:szCs w:val="24"/>
        </w:rPr>
        <w:t>materials</w:t>
      </w:r>
      <w:r w:rsidR="00C22C9B">
        <w:rPr>
          <w:szCs w:val="24"/>
        </w:rPr>
        <w:t xml:space="preserve">, ideally with a sample of intended users. </w:t>
      </w:r>
    </w:p>
    <w:p w14:paraId="6A70B9DF" w14:textId="77777777" w:rsidR="00BD1836" w:rsidRDefault="00BD1836">
      <w:pPr>
        <w:rPr>
          <w:rFonts w:eastAsiaTheme="majorEastAsia" w:cstheme="majorBidi"/>
          <w:i/>
          <w:iCs/>
          <w:color w:val="0F4761" w:themeColor="accent1" w:themeShade="BF"/>
        </w:rPr>
      </w:pPr>
      <w:r>
        <w:br w:type="page"/>
      </w:r>
    </w:p>
    <w:p w14:paraId="75B007BC" w14:textId="14004C03" w:rsidR="00BD1836" w:rsidRDefault="00BD1836" w:rsidP="00BD1836">
      <w:pPr>
        <w:pStyle w:val="Heading4"/>
      </w:pPr>
      <w:r>
        <w:t>Sample wording to communicate with employees: HRIS</w:t>
      </w:r>
    </w:p>
    <w:p w14:paraId="56543207" w14:textId="77777777" w:rsidR="00BD1836" w:rsidRPr="0059218B" w:rsidRDefault="00BD1836" w:rsidP="00BD1836">
      <w:pPr>
        <w:spacing w:line="264" w:lineRule="auto"/>
        <w:rPr>
          <w:szCs w:val="24"/>
        </w:rPr>
      </w:pPr>
      <w:r w:rsidRPr="0059218B">
        <w:rPr>
          <w:szCs w:val="24"/>
        </w:rPr>
        <w:t>Use or adapt th</w:t>
      </w:r>
      <w:r>
        <w:rPr>
          <w:szCs w:val="24"/>
        </w:rPr>
        <w:t>is</w:t>
      </w:r>
      <w:r w:rsidRPr="0059218B">
        <w:rPr>
          <w:szCs w:val="24"/>
        </w:rPr>
        <w:t xml:space="preserve"> wording to suit your needs when communicating with employees about providing their diversity data in your HRIS. </w:t>
      </w:r>
    </w:p>
    <w:p w14:paraId="771023B6" w14:textId="02182FDC" w:rsidR="00BD1836" w:rsidRPr="0059218B" w:rsidRDefault="006329AF" w:rsidP="00BD1836">
      <w:pPr>
        <w:spacing w:line="264" w:lineRule="auto"/>
        <w:rPr>
          <w:b/>
        </w:rPr>
      </w:pPr>
      <w:r>
        <w:rPr>
          <w:b/>
        </w:rPr>
        <w:t xml:space="preserve">Subject line: </w:t>
      </w:r>
      <w:r w:rsidR="00BD1836" w:rsidRPr="7A98CCA5">
        <w:rPr>
          <w:b/>
        </w:rPr>
        <w:t>Help us track progress and support inclusion at &lt;ORGANISATION NAME&gt;</w:t>
      </w:r>
    </w:p>
    <w:p w14:paraId="4136EFE8" w14:textId="77777777" w:rsidR="00BD1836" w:rsidRDefault="00BD1836" w:rsidP="00BD1836">
      <w:pPr>
        <w:spacing w:line="264" w:lineRule="auto"/>
      </w:pPr>
      <w:r w:rsidRPr="41ED6CC6">
        <w:t>&lt;ORGANISATION NAME&gt; is committed to fostering workplace diversity and ensuring all our people, from any background, can contribute to their full potential. We want to foster an inclusive workplace that reflects the diversity of our customers and the communities we operate in.</w:t>
      </w:r>
    </w:p>
    <w:p w14:paraId="739E7B9B" w14:textId="77777777" w:rsidR="00BD1836" w:rsidRPr="0059218B" w:rsidRDefault="00BD1836" w:rsidP="00BD1836">
      <w:pPr>
        <w:spacing w:line="264" w:lineRule="auto"/>
        <w:rPr>
          <w:szCs w:val="24"/>
        </w:rPr>
      </w:pPr>
      <w:r w:rsidRPr="0059218B">
        <w:rPr>
          <w:szCs w:val="24"/>
        </w:rPr>
        <w:t>&lt;</w:t>
      </w:r>
      <w:r>
        <w:rPr>
          <w:szCs w:val="24"/>
        </w:rPr>
        <w:t xml:space="preserve">OR </w:t>
      </w:r>
      <w:r w:rsidRPr="0059218B">
        <w:rPr>
          <w:szCs w:val="24"/>
        </w:rPr>
        <w:t>INSERT YOUR ORGANISATIONAL COMMITMENT TO DIVERSITY&gt;</w:t>
      </w:r>
    </w:p>
    <w:p w14:paraId="21F8F1D5" w14:textId="77777777" w:rsidR="00BD1836" w:rsidRDefault="00BD1836" w:rsidP="00BD1836">
      <w:pPr>
        <w:spacing w:line="264" w:lineRule="auto"/>
      </w:pPr>
      <w:r w:rsidRPr="00C97E8B">
        <w:t xml:space="preserve">To help us measure our progress and ensure we’re meeting our diversity and inclusion goals, we’re asking all employees to voluntarily share their </w:t>
      </w:r>
      <w:r w:rsidRPr="41ED6CC6">
        <w:t xml:space="preserve">&lt;DIVERSITY DATA POINTS YOU ARE REQUESTING&gt;. </w:t>
      </w:r>
      <w:r>
        <w:t>Your participation</w:t>
      </w:r>
      <w:r w:rsidRPr="41ED6CC6">
        <w:t xml:space="preserve"> will give us </w:t>
      </w:r>
      <w:r>
        <w:t>important insights, help drive positive change and</w:t>
      </w:r>
      <w:r w:rsidRPr="41ED6CC6">
        <w:t xml:space="preserve"> measure our progress over time.</w:t>
      </w:r>
    </w:p>
    <w:p w14:paraId="66622A0E" w14:textId="77777777" w:rsidR="00BD1836" w:rsidRPr="0059218B" w:rsidRDefault="00BD1836" w:rsidP="00BD1836">
      <w:pPr>
        <w:spacing w:line="264" w:lineRule="auto"/>
        <w:rPr>
          <w:b/>
          <w:bCs/>
          <w:szCs w:val="24"/>
        </w:rPr>
      </w:pPr>
      <w:r w:rsidRPr="0059218B">
        <w:rPr>
          <w:b/>
          <w:bCs/>
          <w:szCs w:val="24"/>
        </w:rPr>
        <w:t xml:space="preserve">What will you </w:t>
      </w:r>
      <w:r>
        <w:rPr>
          <w:b/>
          <w:bCs/>
          <w:szCs w:val="24"/>
        </w:rPr>
        <w:t>need</w:t>
      </w:r>
      <w:r w:rsidRPr="0059218B">
        <w:rPr>
          <w:b/>
          <w:bCs/>
          <w:szCs w:val="24"/>
        </w:rPr>
        <w:t xml:space="preserve"> to do? </w:t>
      </w:r>
    </w:p>
    <w:p w14:paraId="5EF44555" w14:textId="7D8238AC" w:rsidR="00BD1836" w:rsidRPr="0059218B" w:rsidRDefault="00BD1836" w:rsidP="00BD1836">
      <w:pPr>
        <w:spacing w:line="264" w:lineRule="auto"/>
      </w:pPr>
      <w:r>
        <w:t>Simply follow the link below and</w:t>
      </w:r>
      <w:r w:rsidRPr="0059218B">
        <w:t xml:space="preserve"> </w:t>
      </w:r>
      <w:r>
        <w:t>complete</w:t>
      </w:r>
      <w:r w:rsidRPr="0059218B">
        <w:t xml:space="preserve"> the questions when prompted</w:t>
      </w:r>
      <w:r>
        <w:t>:</w:t>
      </w:r>
      <w:r w:rsidRPr="0059218B">
        <w:t xml:space="preserve"> &lt;</w:t>
      </w:r>
      <w:r w:rsidR="006329AF">
        <w:t>HYPER</w:t>
      </w:r>
      <w:r w:rsidRPr="0059218B">
        <w:t xml:space="preserve">LINK AND INSTRUCTIONS FOR HRIS&gt;. </w:t>
      </w:r>
    </w:p>
    <w:p w14:paraId="5C14BD72" w14:textId="77777777" w:rsidR="00BD1836" w:rsidRPr="0059218B" w:rsidRDefault="00BD1836" w:rsidP="00BD1836">
      <w:pPr>
        <w:spacing w:line="264" w:lineRule="auto"/>
        <w:rPr>
          <w:b/>
          <w:bCs/>
          <w:szCs w:val="24"/>
        </w:rPr>
      </w:pPr>
      <w:r>
        <w:rPr>
          <w:b/>
          <w:bCs/>
          <w:szCs w:val="24"/>
        </w:rPr>
        <w:t>Is p</w:t>
      </w:r>
      <w:r w:rsidRPr="0059218B">
        <w:rPr>
          <w:b/>
          <w:bCs/>
          <w:szCs w:val="24"/>
        </w:rPr>
        <w:t>roviding this information voluntary</w:t>
      </w:r>
      <w:r>
        <w:rPr>
          <w:b/>
          <w:bCs/>
          <w:szCs w:val="24"/>
        </w:rPr>
        <w:t>?</w:t>
      </w:r>
      <w:r w:rsidRPr="0059218B">
        <w:rPr>
          <w:b/>
          <w:bCs/>
          <w:szCs w:val="24"/>
        </w:rPr>
        <w:t xml:space="preserve"> </w:t>
      </w:r>
    </w:p>
    <w:p w14:paraId="07EB08A3" w14:textId="122495BF" w:rsidR="00BD1836" w:rsidRPr="006329AF" w:rsidRDefault="00BD1836" w:rsidP="00BD1836">
      <w:pPr>
        <w:spacing w:line="264" w:lineRule="auto"/>
      </w:pPr>
      <w:r>
        <w:t xml:space="preserve">Yes, sharing </w:t>
      </w:r>
      <w:r w:rsidRPr="41ED6CC6">
        <w:t>this information is completely voluntary</w:t>
      </w:r>
      <w:r>
        <w:t>. Y</w:t>
      </w:r>
      <w:r w:rsidRPr="41ED6CC6">
        <w:rPr>
          <w:rFonts w:cs="Univers 45 Light"/>
          <w:color w:val="000000" w:themeColor="text1"/>
        </w:rPr>
        <w:t xml:space="preserve">ou </w:t>
      </w:r>
      <w:r>
        <w:rPr>
          <w:rFonts w:cs="Univers 45 Light"/>
          <w:color w:val="000000" w:themeColor="text1"/>
        </w:rPr>
        <w:t>are not required to answer any questions you are not comfortable with</w:t>
      </w:r>
      <w:r w:rsidRPr="41ED6CC6">
        <w:rPr>
          <w:rFonts w:cs="Univers 45 Light"/>
          <w:color w:val="000000" w:themeColor="text1"/>
        </w:rPr>
        <w:t>.</w:t>
      </w:r>
      <w:r w:rsidRPr="41ED6CC6">
        <w:t xml:space="preserve"> There are also “Prefer not to say” responses for any questions you do not want to answer. </w:t>
      </w:r>
      <w:r>
        <w:t>However,</w:t>
      </w:r>
      <w:r w:rsidRPr="41ED6CC6">
        <w:t xml:space="preserve"> we’d really appreciate </w:t>
      </w:r>
      <w:r>
        <w:t>your participation</w:t>
      </w:r>
      <w:r w:rsidRPr="41ED6CC6">
        <w:t xml:space="preserve"> if you</w:t>
      </w:r>
      <w:r>
        <w:t>’re able to share this information</w:t>
      </w:r>
      <w:r w:rsidRPr="41ED6CC6">
        <w:t xml:space="preserve">. </w:t>
      </w:r>
    </w:p>
    <w:p w14:paraId="5EB71CFF" w14:textId="77777777" w:rsidR="00BD1836" w:rsidRPr="0059218B" w:rsidRDefault="00BD1836" w:rsidP="00BD1836">
      <w:pPr>
        <w:spacing w:line="264" w:lineRule="auto"/>
        <w:rPr>
          <w:rFonts w:cs="Univers 45 Light"/>
          <w:color w:val="000000"/>
        </w:rPr>
      </w:pPr>
      <w:r w:rsidRPr="41ED6CC6">
        <w:rPr>
          <w:rFonts w:cs="Univers 45 Light"/>
          <w:b/>
          <w:bCs/>
          <w:color w:val="000000" w:themeColor="text1"/>
        </w:rPr>
        <w:t xml:space="preserve">What will we use the data for? </w:t>
      </w:r>
    </w:p>
    <w:p w14:paraId="31E03CED" w14:textId="77777777" w:rsidR="00BD1836" w:rsidRPr="0059218B" w:rsidRDefault="00BD1836" w:rsidP="00BD1836">
      <w:pPr>
        <w:pStyle w:val="Pa5"/>
        <w:spacing w:line="264" w:lineRule="auto"/>
        <w:rPr>
          <w:rFonts w:asciiTheme="minorHAnsi" w:hAnsiTheme="minorHAnsi" w:cs="Univers 45 Light"/>
          <w:color w:val="000000"/>
        </w:rPr>
      </w:pPr>
      <w:r w:rsidRPr="5DF99F6C">
        <w:rPr>
          <w:rFonts w:asciiTheme="minorHAnsi" w:hAnsiTheme="minorHAnsi" w:cs="Univers 45 Light"/>
          <w:color w:val="000000" w:themeColor="text1"/>
        </w:rPr>
        <w:t xml:space="preserve">The information you share will be used for statistical purposes only. It will help us understand and track our progress in building a more diverse and inclusive workplace. It will also inform a range of policies and practices to help </w:t>
      </w:r>
      <w:r w:rsidRPr="000A3F14">
        <w:rPr>
          <w:rFonts w:asciiTheme="minorHAnsi" w:hAnsiTheme="minorHAnsi" w:cs="Univers 45 Light"/>
          <w:color w:val="000000" w:themeColor="text1"/>
        </w:rPr>
        <w:t xml:space="preserve">ensure everyone at </w:t>
      </w:r>
      <w:r w:rsidRPr="5DF99F6C">
        <w:rPr>
          <w:rFonts w:asciiTheme="minorHAnsi" w:hAnsiTheme="minorHAnsi" w:cs="Univers 45 Light"/>
          <w:color w:val="000000" w:themeColor="text1"/>
        </w:rPr>
        <w:t xml:space="preserve">&lt;ORGANISATION NAME&gt; has </w:t>
      </w:r>
      <w:r w:rsidRPr="000A3F14">
        <w:rPr>
          <w:rFonts w:asciiTheme="minorHAnsi" w:hAnsiTheme="minorHAnsi" w:cs="Univers 45 Light"/>
          <w:color w:val="000000" w:themeColor="text1"/>
        </w:rPr>
        <w:t>the opportunity to reach their full potential</w:t>
      </w:r>
      <w:r w:rsidRPr="5DF99F6C">
        <w:rPr>
          <w:rFonts w:asciiTheme="minorHAnsi" w:hAnsiTheme="minorHAnsi" w:cs="Univers 45 Light"/>
          <w:color w:val="000000" w:themeColor="text1"/>
        </w:rPr>
        <w:t xml:space="preserve">. </w:t>
      </w:r>
    </w:p>
    <w:p w14:paraId="028E2538" w14:textId="77777777" w:rsidR="00BD1836" w:rsidRPr="0059218B" w:rsidRDefault="00BD1836" w:rsidP="00BD1836">
      <w:pPr>
        <w:pStyle w:val="Pa5"/>
        <w:spacing w:after="160" w:line="264" w:lineRule="auto"/>
        <w:rPr>
          <w:rFonts w:asciiTheme="minorHAnsi" w:hAnsiTheme="minorHAnsi" w:cs="Univers 45 Light"/>
          <w:color w:val="000000"/>
        </w:rPr>
      </w:pPr>
      <w:r w:rsidRPr="41ED6CC6">
        <w:rPr>
          <w:rFonts w:asciiTheme="minorHAnsi" w:hAnsiTheme="minorHAnsi" w:cs="Univers 45 Light"/>
          <w:color w:val="000000" w:themeColor="text1"/>
        </w:rPr>
        <w:t xml:space="preserve">The data will be compared with national statistics so we can understand how closely our workforce reflects the communities we operate in. </w:t>
      </w:r>
    </w:p>
    <w:p w14:paraId="22369602" w14:textId="77777777" w:rsidR="00BD1836" w:rsidRPr="0059218B" w:rsidRDefault="00BD1836" w:rsidP="00BD1836">
      <w:pPr>
        <w:pStyle w:val="Pa28"/>
        <w:spacing w:after="160" w:line="264" w:lineRule="auto"/>
        <w:rPr>
          <w:rFonts w:asciiTheme="minorHAnsi" w:hAnsiTheme="minorHAnsi" w:cs="Univers 45 Light"/>
          <w:color w:val="000000"/>
        </w:rPr>
      </w:pPr>
      <w:r w:rsidRPr="0059218B">
        <w:rPr>
          <w:rFonts w:asciiTheme="minorHAnsi" w:hAnsiTheme="minorHAnsi" w:cs="Univers 45 Light"/>
          <w:b/>
          <w:bCs/>
          <w:color w:val="000000"/>
        </w:rPr>
        <w:t xml:space="preserve">How will </w:t>
      </w:r>
      <w:r>
        <w:rPr>
          <w:rFonts w:asciiTheme="minorHAnsi" w:hAnsiTheme="minorHAnsi" w:cs="Univers 45 Light"/>
          <w:b/>
          <w:bCs/>
          <w:color w:val="000000"/>
        </w:rPr>
        <w:t>we keep</w:t>
      </w:r>
      <w:r w:rsidRPr="0059218B">
        <w:rPr>
          <w:rFonts w:asciiTheme="minorHAnsi" w:hAnsiTheme="minorHAnsi" w:cs="Univers 45 Light"/>
          <w:b/>
          <w:bCs/>
          <w:color w:val="000000"/>
        </w:rPr>
        <w:t xml:space="preserve"> your information </w:t>
      </w:r>
      <w:r>
        <w:rPr>
          <w:rFonts w:asciiTheme="minorHAnsi" w:hAnsiTheme="minorHAnsi" w:cs="Univers 45 Light"/>
          <w:b/>
          <w:bCs/>
          <w:color w:val="000000"/>
        </w:rPr>
        <w:t>confidential</w:t>
      </w:r>
      <w:r w:rsidRPr="0059218B">
        <w:rPr>
          <w:rFonts w:asciiTheme="minorHAnsi" w:hAnsiTheme="minorHAnsi" w:cs="Univers 45 Light"/>
          <w:b/>
          <w:bCs/>
          <w:color w:val="000000"/>
        </w:rPr>
        <w:t xml:space="preserve">? </w:t>
      </w:r>
    </w:p>
    <w:p w14:paraId="23259B34" w14:textId="1AAEC1E9" w:rsidR="00BD1836" w:rsidRPr="0059218B" w:rsidRDefault="00BD1836" w:rsidP="00BD1836">
      <w:pPr>
        <w:pStyle w:val="Pa5"/>
        <w:spacing w:after="160" w:line="264" w:lineRule="auto"/>
        <w:rPr>
          <w:rFonts w:asciiTheme="minorHAnsi" w:hAnsiTheme="minorHAnsi" w:cs="Univers 45 Light"/>
          <w:color w:val="000000"/>
        </w:rPr>
      </w:pPr>
      <w:r w:rsidRPr="0059218B">
        <w:rPr>
          <w:rFonts w:asciiTheme="minorHAnsi" w:hAnsiTheme="minorHAnsi" w:cs="Univers 45 Light"/>
          <w:color w:val="000000"/>
        </w:rPr>
        <w:t xml:space="preserve">Any </w:t>
      </w:r>
      <w:r>
        <w:rPr>
          <w:rFonts w:asciiTheme="minorHAnsi" w:hAnsiTheme="minorHAnsi" w:cs="Univers 45 Light"/>
          <w:color w:val="000000"/>
        </w:rPr>
        <w:t xml:space="preserve">diversity </w:t>
      </w:r>
      <w:r w:rsidRPr="0059218B">
        <w:rPr>
          <w:rFonts w:asciiTheme="minorHAnsi" w:hAnsiTheme="minorHAnsi" w:cs="Univers 45 Light"/>
          <w:color w:val="000000"/>
        </w:rPr>
        <w:t xml:space="preserve">data you share will be </w:t>
      </w:r>
      <w:r>
        <w:rPr>
          <w:rFonts w:asciiTheme="minorHAnsi" w:hAnsiTheme="minorHAnsi" w:cs="Univers 45 Light"/>
          <w:color w:val="000000"/>
        </w:rPr>
        <w:t xml:space="preserve">kept strictly confidential in line with </w:t>
      </w:r>
      <w:r w:rsidRPr="0059218B">
        <w:rPr>
          <w:rFonts w:asciiTheme="minorHAnsi" w:hAnsiTheme="minorHAnsi" w:cs="Univers 45 Light"/>
          <w:color w:val="000000"/>
        </w:rPr>
        <w:t>our data privacy policy &lt;</w:t>
      </w:r>
      <w:r w:rsidR="006329AF">
        <w:rPr>
          <w:rFonts w:asciiTheme="minorHAnsi" w:hAnsiTheme="minorHAnsi" w:cs="Univers 45 Light"/>
          <w:color w:val="000000"/>
        </w:rPr>
        <w:t>HYPER</w:t>
      </w:r>
      <w:r w:rsidRPr="0059218B">
        <w:rPr>
          <w:rFonts w:asciiTheme="minorHAnsi" w:hAnsiTheme="minorHAnsi" w:cs="Univers 45 Light"/>
          <w:color w:val="000000"/>
        </w:rPr>
        <w:t xml:space="preserve">LINK TO POLICY&gt;. </w:t>
      </w:r>
    </w:p>
    <w:p w14:paraId="74BFE783" w14:textId="77777777" w:rsidR="00BD1836" w:rsidRPr="0059218B" w:rsidRDefault="00BD1836" w:rsidP="00BD1836">
      <w:pPr>
        <w:pStyle w:val="Pa5"/>
        <w:spacing w:after="160" w:line="264" w:lineRule="auto"/>
        <w:rPr>
          <w:rFonts w:asciiTheme="minorHAnsi" w:hAnsiTheme="minorHAnsi" w:cs="Univers 45 Light"/>
          <w:color w:val="000000"/>
        </w:rPr>
      </w:pPr>
      <w:r w:rsidRPr="0059218B">
        <w:rPr>
          <w:rFonts w:asciiTheme="minorHAnsi" w:hAnsiTheme="minorHAnsi" w:cs="Univers 45 Light"/>
          <w:color w:val="000000"/>
        </w:rPr>
        <w:t>Access will be limited to a small number of authorised &lt;ORGANISATION</w:t>
      </w:r>
      <w:r>
        <w:rPr>
          <w:rFonts w:asciiTheme="minorHAnsi" w:hAnsiTheme="minorHAnsi" w:cs="Univers 45 Light"/>
          <w:color w:val="000000"/>
        </w:rPr>
        <w:t xml:space="preserve"> NAME</w:t>
      </w:r>
      <w:r w:rsidRPr="0059218B">
        <w:rPr>
          <w:rFonts w:asciiTheme="minorHAnsi" w:hAnsiTheme="minorHAnsi" w:cs="Univers 45 Light"/>
          <w:color w:val="000000"/>
        </w:rPr>
        <w:t>&gt; employees</w:t>
      </w:r>
      <w:r>
        <w:rPr>
          <w:rFonts w:asciiTheme="minorHAnsi" w:hAnsiTheme="minorHAnsi" w:cs="Univers 45 Light"/>
          <w:color w:val="000000"/>
        </w:rPr>
        <w:t xml:space="preserve"> and your</w:t>
      </w:r>
      <w:r w:rsidRPr="0059218B">
        <w:rPr>
          <w:rFonts w:asciiTheme="minorHAnsi" w:hAnsiTheme="minorHAnsi" w:cs="Univers 45 Light"/>
          <w:color w:val="000000"/>
        </w:rPr>
        <w:t xml:space="preserve"> line manager</w:t>
      </w:r>
      <w:r>
        <w:rPr>
          <w:rFonts w:asciiTheme="minorHAnsi" w:hAnsiTheme="minorHAnsi" w:cs="Univers 45 Light"/>
          <w:color w:val="000000"/>
        </w:rPr>
        <w:t xml:space="preserve"> will not have access to this information</w:t>
      </w:r>
      <w:r w:rsidRPr="0059218B">
        <w:rPr>
          <w:rFonts w:asciiTheme="minorHAnsi" w:hAnsiTheme="minorHAnsi" w:cs="Univers 45 Light"/>
          <w:color w:val="000000"/>
        </w:rPr>
        <w:t xml:space="preserve">. </w:t>
      </w:r>
    </w:p>
    <w:p w14:paraId="012193B1" w14:textId="77777777" w:rsidR="00BD1836" w:rsidRPr="0059218B" w:rsidRDefault="00BD1836" w:rsidP="00BD1836">
      <w:pPr>
        <w:pStyle w:val="Pa5"/>
        <w:spacing w:after="160" w:line="264" w:lineRule="auto"/>
        <w:rPr>
          <w:rFonts w:asciiTheme="minorHAnsi" w:hAnsiTheme="minorHAnsi" w:cs="Univers 45 Light"/>
          <w:color w:val="000000"/>
        </w:rPr>
      </w:pPr>
      <w:r w:rsidRPr="5DF99F6C">
        <w:rPr>
          <w:rFonts w:asciiTheme="minorHAnsi" w:hAnsiTheme="minorHAnsi" w:cs="Univers 45 Light"/>
          <w:color w:val="000000" w:themeColor="text1"/>
        </w:rPr>
        <w:t xml:space="preserve">When generating reports, all data will be anonymised. The reports will only show combined information, with no personal information or details identifying individual employees. </w:t>
      </w:r>
    </w:p>
    <w:p w14:paraId="002B8D99" w14:textId="77777777" w:rsidR="00BD1836" w:rsidRPr="0059218B" w:rsidRDefault="00BD1836" w:rsidP="00BD1836">
      <w:pPr>
        <w:pStyle w:val="Default"/>
        <w:spacing w:after="160" w:line="264" w:lineRule="auto"/>
        <w:rPr>
          <w:rFonts w:asciiTheme="minorHAnsi" w:hAnsiTheme="minorHAnsi"/>
          <w:b/>
          <w:bCs/>
        </w:rPr>
      </w:pPr>
      <w:r w:rsidRPr="0059218B">
        <w:rPr>
          <w:rFonts w:asciiTheme="minorHAnsi" w:hAnsiTheme="minorHAnsi"/>
          <w:b/>
          <w:bCs/>
        </w:rPr>
        <w:t>Who can you contact if you have questions?</w:t>
      </w:r>
    </w:p>
    <w:p w14:paraId="21E3E513" w14:textId="77777777" w:rsidR="00BD1836" w:rsidRPr="0059218B" w:rsidRDefault="00BD1836" w:rsidP="00BD1836">
      <w:pPr>
        <w:pStyle w:val="Default"/>
        <w:spacing w:after="160" w:line="264" w:lineRule="auto"/>
        <w:rPr>
          <w:rFonts w:asciiTheme="minorHAnsi" w:hAnsiTheme="minorHAnsi"/>
          <w:i/>
          <w:iCs/>
        </w:rPr>
      </w:pPr>
      <w:r>
        <w:rPr>
          <w:rFonts w:asciiTheme="minorHAnsi" w:hAnsiTheme="minorHAnsi"/>
        </w:rPr>
        <w:t>I</w:t>
      </w:r>
      <w:r w:rsidRPr="0059218B">
        <w:rPr>
          <w:rFonts w:asciiTheme="minorHAnsi" w:hAnsiTheme="minorHAnsi"/>
        </w:rPr>
        <w:t>f you have any questions about sharing your information in our HRIS</w:t>
      </w:r>
      <w:r>
        <w:rPr>
          <w:rFonts w:asciiTheme="minorHAnsi" w:hAnsiTheme="minorHAnsi"/>
        </w:rPr>
        <w:t>,</w:t>
      </w:r>
      <w:r w:rsidRPr="0059218B" w:rsidDel="00CD6FD5">
        <w:rPr>
          <w:rFonts w:asciiTheme="minorHAnsi" w:hAnsiTheme="minorHAnsi"/>
        </w:rPr>
        <w:t xml:space="preserve"> </w:t>
      </w:r>
      <w:r>
        <w:rPr>
          <w:rFonts w:asciiTheme="minorHAnsi" w:hAnsiTheme="minorHAnsi"/>
        </w:rPr>
        <w:t>p</w:t>
      </w:r>
      <w:r w:rsidRPr="0059218B">
        <w:rPr>
          <w:rFonts w:asciiTheme="minorHAnsi" w:hAnsiTheme="minorHAnsi"/>
        </w:rPr>
        <w:t>lease contact &lt;KEY CONTACT NAME AND EMAIL&gt;.</w:t>
      </w:r>
    </w:p>
    <w:p w14:paraId="28CEC5E8" w14:textId="765125E8" w:rsidR="00BD1836" w:rsidRDefault="006329AF" w:rsidP="006329AF">
      <w:pPr>
        <w:pStyle w:val="Heading4"/>
      </w:pPr>
      <w:r>
        <w:t>Sample wording to communicate with employees: anonymous survey</w:t>
      </w:r>
    </w:p>
    <w:p w14:paraId="3E592087" w14:textId="77777777" w:rsidR="006329AF" w:rsidRPr="0059218B" w:rsidRDefault="006329AF" w:rsidP="006329AF">
      <w:pPr>
        <w:spacing w:line="264" w:lineRule="auto"/>
      </w:pPr>
      <w:r w:rsidRPr="41ED6CC6">
        <w:t xml:space="preserve">Use or adapt this wording to suit your organisational needs when communicating with employees about providing their diversity data and inclusion experiences in an anonymous survey.  </w:t>
      </w:r>
    </w:p>
    <w:p w14:paraId="7C41C1D7" w14:textId="10DB2530" w:rsidR="006329AF" w:rsidRPr="0059218B" w:rsidRDefault="006329AF" w:rsidP="006329AF">
      <w:pPr>
        <w:spacing w:line="264" w:lineRule="auto"/>
        <w:rPr>
          <w:b/>
          <w:bCs/>
        </w:rPr>
      </w:pPr>
      <w:r>
        <w:rPr>
          <w:b/>
          <w:bCs/>
        </w:rPr>
        <w:t xml:space="preserve">Subject line: </w:t>
      </w:r>
      <w:r w:rsidRPr="005C112E">
        <w:rPr>
          <w:b/>
          <w:bCs/>
        </w:rPr>
        <w:t xml:space="preserve">Help us </w:t>
      </w:r>
      <w:r>
        <w:rPr>
          <w:b/>
          <w:bCs/>
        </w:rPr>
        <w:t>track progress and support</w:t>
      </w:r>
      <w:r w:rsidRPr="005C112E">
        <w:rPr>
          <w:b/>
          <w:bCs/>
        </w:rPr>
        <w:t xml:space="preserve"> inclusion at &lt;</w:t>
      </w:r>
      <w:r>
        <w:rPr>
          <w:b/>
          <w:bCs/>
        </w:rPr>
        <w:t>ORGANISATION NAME</w:t>
      </w:r>
      <w:r w:rsidRPr="005C112E">
        <w:rPr>
          <w:b/>
          <w:bCs/>
        </w:rPr>
        <w:t>&gt;</w:t>
      </w:r>
    </w:p>
    <w:p w14:paraId="01B65D67" w14:textId="77777777" w:rsidR="006329AF" w:rsidRDefault="006329AF" w:rsidP="006329AF">
      <w:pPr>
        <w:spacing w:line="264" w:lineRule="auto"/>
      </w:pPr>
      <w:r w:rsidRPr="41ED6CC6">
        <w:t xml:space="preserve">&lt;ORGANISATION NAME&gt; is committed to fostering workplace diversity and ensuring all our people, from any background, can contribute to their full potential. We want to foster an inclusive workplace that reflects the diversity of our customers and the communities we </w:t>
      </w:r>
      <w:r>
        <w:t>serve</w:t>
      </w:r>
      <w:r w:rsidRPr="41ED6CC6">
        <w:t>.</w:t>
      </w:r>
    </w:p>
    <w:p w14:paraId="4C29FB7A" w14:textId="77777777" w:rsidR="006329AF" w:rsidRPr="0059218B" w:rsidRDefault="006329AF" w:rsidP="006329AF">
      <w:pPr>
        <w:spacing w:line="264" w:lineRule="auto"/>
        <w:rPr>
          <w:szCs w:val="24"/>
        </w:rPr>
      </w:pPr>
      <w:r w:rsidRPr="0059218B">
        <w:rPr>
          <w:szCs w:val="24"/>
        </w:rPr>
        <w:t>&lt;</w:t>
      </w:r>
      <w:r>
        <w:rPr>
          <w:szCs w:val="24"/>
        </w:rPr>
        <w:t xml:space="preserve">OR INSERT </w:t>
      </w:r>
      <w:r w:rsidRPr="0059218B">
        <w:rPr>
          <w:szCs w:val="24"/>
        </w:rPr>
        <w:t>ORGANISATIONAL COMMITMENT TO DIVERSITY&gt;</w:t>
      </w:r>
    </w:p>
    <w:p w14:paraId="01A166F8" w14:textId="77777777" w:rsidR="006329AF" w:rsidRPr="0059218B" w:rsidRDefault="006329AF" w:rsidP="006329AF">
      <w:pPr>
        <w:spacing w:line="264" w:lineRule="auto"/>
      </w:pPr>
      <w:r w:rsidRPr="41ED6CC6">
        <w:t xml:space="preserve">We need your help to </w:t>
      </w:r>
      <w:r>
        <w:t>gain a picture of where we’re at</w:t>
      </w:r>
      <w:r w:rsidRPr="41ED6CC6">
        <w:t xml:space="preserve">, so we’re running an anonymous survey. This will help us learn </w:t>
      </w:r>
      <w:r>
        <w:t>more</w:t>
      </w:r>
      <w:r w:rsidRPr="41ED6CC6">
        <w:t xml:space="preserve"> about how diverse and inclusive &lt;ORGANISATION NAME&gt; is, what we are doing well, and </w:t>
      </w:r>
      <w:r>
        <w:t>where we can</w:t>
      </w:r>
      <w:r w:rsidRPr="41ED6CC6">
        <w:t xml:space="preserve"> improve.  </w:t>
      </w:r>
    </w:p>
    <w:p w14:paraId="27F7F4F0" w14:textId="77777777" w:rsidR="006329AF" w:rsidRPr="0059218B" w:rsidRDefault="006329AF" w:rsidP="006329AF">
      <w:pPr>
        <w:spacing w:line="264" w:lineRule="auto"/>
        <w:rPr>
          <w:b/>
          <w:bCs/>
          <w:szCs w:val="24"/>
        </w:rPr>
      </w:pPr>
      <w:r w:rsidRPr="0059218B">
        <w:rPr>
          <w:b/>
          <w:bCs/>
          <w:szCs w:val="24"/>
        </w:rPr>
        <w:t xml:space="preserve">What will I </w:t>
      </w:r>
      <w:r>
        <w:rPr>
          <w:b/>
          <w:bCs/>
          <w:szCs w:val="24"/>
        </w:rPr>
        <w:t xml:space="preserve">need </w:t>
      </w:r>
      <w:r w:rsidRPr="0059218B">
        <w:rPr>
          <w:b/>
          <w:bCs/>
          <w:szCs w:val="24"/>
        </w:rPr>
        <w:t>to do?</w:t>
      </w:r>
    </w:p>
    <w:p w14:paraId="6E7C618B" w14:textId="08F2E909" w:rsidR="006329AF" w:rsidRPr="0059218B" w:rsidRDefault="006329AF" w:rsidP="006329AF">
      <w:pPr>
        <w:spacing w:line="264" w:lineRule="auto"/>
        <w:rPr>
          <w:szCs w:val="24"/>
        </w:rPr>
      </w:pPr>
      <w:r w:rsidRPr="0059218B">
        <w:rPr>
          <w:szCs w:val="24"/>
        </w:rPr>
        <w:t>Take our survey by following th</w:t>
      </w:r>
      <w:r>
        <w:rPr>
          <w:szCs w:val="24"/>
        </w:rPr>
        <w:t>is</w:t>
      </w:r>
      <w:r w:rsidRPr="0059218B">
        <w:rPr>
          <w:szCs w:val="24"/>
        </w:rPr>
        <w:t xml:space="preserve"> link</w:t>
      </w:r>
      <w:r>
        <w:rPr>
          <w:szCs w:val="24"/>
        </w:rPr>
        <w:t xml:space="preserve"> –</w:t>
      </w:r>
      <w:r w:rsidRPr="0059218B">
        <w:rPr>
          <w:szCs w:val="24"/>
        </w:rPr>
        <w:t xml:space="preserve"> &lt;SURVEY </w:t>
      </w:r>
      <w:r>
        <w:rPr>
          <w:szCs w:val="24"/>
        </w:rPr>
        <w:t>HYPER</w:t>
      </w:r>
      <w:r w:rsidRPr="0059218B">
        <w:rPr>
          <w:szCs w:val="24"/>
        </w:rPr>
        <w:t xml:space="preserve">LINK&gt; </w:t>
      </w:r>
      <w:r>
        <w:rPr>
          <w:szCs w:val="24"/>
        </w:rPr>
        <w:t xml:space="preserve">– and complete it before </w:t>
      </w:r>
      <w:r w:rsidRPr="0059218B">
        <w:rPr>
          <w:szCs w:val="24"/>
        </w:rPr>
        <w:t xml:space="preserve"> &lt;SURVEY CLOSE DATE&gt;. </w:t>
      </w:r>
      <w:r>
        <w:rPr>
          <w:szCs w:val="24"/>
        </w:rPr>
        <w:t>It</w:t>
      </w:r>
      <w:r w:rsidRPr="0059218B">
        <w:rPr>
          <w:szCs w:val="24"/>
        </w:rPr>
        <w:t xml:space="preserve"> takes less than &lt;SURVEY TIME&gt; to complete. You will be </w:t>
      </w:r>
      <w:r>
        <w:rPr>
          <w:szCs w:val="24"/>
        </w:rPr>
        <w:t>invited to share</w:t>
      </w:r>
      <w:r w:rsidRPr="0059218B">
        <w:rPr>
          <w:szCs w:val="24"/>
        </w:rPr>
        <w:t xml:space="preserve"> your experiences of inclusion at work, </w:t>
      </w:r>
      <w:r>
        <w:rPr>
          <w:szCs w:val="24"/>
        </w:rPr>
        <w:t>as along with</w:t>
      </w:r>
      <w:r w:rsidRPr="0059218B">
        <w:rPr>
          <w:szCs w:val="24"/>
        </w:rPr>
        <w:t xml:space="preserve"> some </w:t>
      </w:r>
      <w:r>
        <w:rPr>
          <w:szCs w:val="24"/>
        </w:rPr>
        <w:t xml:space="preserve">optional </w:t>
      </w:r>
      <w:r w:rsidRPr="0059218B">
        <w:rPr>
          <w:szCs w:val="24"/>
        </w:rPr>
        <w:t xml:space="preserve">demographic questions. </w:t>
      </w:r>
    </w:p>
    <w:p w14:paraId="34B70C58" w14:textId="77777777" w:rsidR="006329AF" w:rsidRPr="0059218B" w:rsidRDefault="006329AF" w:rsidP="006329AF">
      <w:pPr>
        <w:spacing w:line="264" w:lineRule="auto"/>
        <w:rPr>
          <w:b/>
          <w:bCs/>
          <w:szCs w:val="24"/>
        </w:rPr>
      </w:pPr>
      <w:r>
        <w:rPr>
          <w:b/>
          <w:bCs/>
          <w:szCs w:val="24"/>
        </w:rPr>
        <w:t>Is t</w:t>
      </w:r>
      <w:r w:rsidRPr="0059218B">
        <w:rPr>
          <w:b/>
          <w:bCs/>
          <w:szCs w:val="24"/>
        </w:rPr>
        <w:t>aking the survey voluntary</w:t>
      </w:r>
      <w:r>
        <w:rPr>
          <w:b/>
          <w:bCs/>
          <w:szCs w:val="24"/>
        </w:rPr>
        <w:t>?</w:t>
      </w:r>
      <w:r w:rsidRPr="0059218B">
        <w:rPr>
          <w:b/>
          <w:bCs/>
          <w:szCs w:val="24"/>
        </w:rPr>
        <w:t xml:space="preserve"> </w:t>
      </w:r>
    </w:p>
    <w:p w14:paraId="6D614AFB" w14:textId="77777777" w:rsidR="006329AF" w:rsidRDefault="006329AF" w:rsidP="006329AF">
      <w:pPr>
        <w:spacing w:line="264" w:lineRule="auto"/>
      </w:pPr>
      <w:r w:rsidRPr="41ED6CC6">
        <w:t xml:space="preserve">Sharing this information is completely voluntary – </w:t>
      </w:r>
      <w:r w:rsidRPr="41ED6CC6">
        <w:rPr>
          <w:rFonts w:cs="Univers 45 Light"/>
          <w:color w:val="000000" w:themeColor="text1"/>
        </w:rPr>
        <w:t xml:space="preserve">you don’t have to </w:t>
      </w:r>
      <w:r>
        <w:rPr>
          <w:rFonts w:cs="Univers 45 Light"/>
          <w:color w:val="000000" w:themeColor="text1"/>
        </w:rPr>
        <w:t>take part</w:t>
      </w:r>
      <w:r w:rsidRPr="41ED6CC6">
        <w:rPr>
          <w:rFonts w:cs="Univers 45 Light"/>
          <w:color w:val="000000" w:themeColor="text1"/>
        </w:rPr>
        <w:t xml:space="preserve"> if you don’t want to.</w:t>
      </w:r>
      <w:r w:rsidRPr="41ED6CC6">
        <w:t xml:space="preserve"> </w:t>
      </w:r>
      <w:r>
        <w:t>However, we encourage you to do so - for any questions you do not wish to answer, you can select</w:t>
      </w:r>
      <w:r w:rsidRPr="41ED6CC6">
        <w:t xml:space="preserve"> “Prefer not to say”</w:t>
      </w:r>
      <w:r>
        <w:t>. W</w:t>
      </w:r>
      <w:r w:rsidRPr="41ED6CC6">
        <w:t xml:space="preserve">e’d really appreciate </w:t>
      </w:r>
      <w:r>
        <w:t>your input</w:t>
      </w:r>
      <w:r w:rsidRPr="41ED6CC6">
        <w:t xml:space="preserve"> if you</w:t>
      </w:r>
      <w:r>
        <w:t xml:space="preserve">’re comfortable </w:t>
      </w:r>
      <w:r w:rsidRPr="41ED6CC6">
        <w:t xml:space="preserve">doing so. </w:t>
      </w:r>
    </w:p>
    <w:p w14:paraId="66AB268F" w14:textId="77777777" w:rsidR="006329AF" w:rsidRPr="0059218B" w:rsidRDefault="006329AF" w:rsidP="006329AF">
      <w:pPr>
        <w:spacing w:line="264" w:lineRule="auto"/>
        <w:rPr>
          <w:rFonts w:cs="Univers 45 Light"/>
          <w:color w:val="000000"/>
        </w:rPr>
      </w:pPr>
      <w:r w:rsidRPr="41ED6CC6">
        <w:rPr>
          <w:rFonts w:cs="Univers 45 Light"/>
          <w:b/>
          <w:bCs/>
          <w:color w:val="000000" w:themeColor="text1"/>
        </w:rPr>
        <w:t xml:space="preserve">What will we use the data for? </w:t>
      </w:r>
    </w:p>
    <w:p w14:paraId="4EF31B42" w14:textId="77777777" w:rsidR="006329AF" w:rsidRPr="0059218B" w:rsidRDefault="006329AF" w:rsidP="006329AF">
      <w:pPr>
        <w:pStyle w:val="Pa5"/>
        <w:spacing w:after="160" w:line="264" w:lineRule="auto"/>
        <w:rPr>
          <w:rFonts w:asciiTheme="minorHAnsi" w:hAnsiTheme="minorHAnsi" w:cs="Univers 45 Light"/>
          <w:color w:val="000000"/>
        </w:rPr>
      </w:pPr>
      <w:r>
        <w:rPr>
          <w:rFonts w:asciiTheme="minorHAnsi" w:hAnsiTheme="minorHAnsi" w:cs="Univers 45 Light"/>
          <w:color w:val="000000"/>
        </w:rPr>
        <w:t>The survey results</w:t>
      </w:r>
      <w:r w:rsidRPr="0059218B">
        <w:rPr>
          <w:rFonts w:asciiTheme="minorHAnsi" w:hAnsiTheme="minorHAnsi" w:cs="Univers 45 Light"/>
          <w:color w:val="000000"/>
        </w:rPr>
        <w:t xml:space="preserve"> will help us track our progress in workforce diversity</w:t>
      </w:r>
      <w:r>
        <w:rPr>
          <w:rFonts w:asciiTheme="minorHAnsi" w:hAnsiTheme="minorHAnsi" w:cs="Univers 45 Light"/>
          <w:color w:val="000000"/>
        </w:rPr>
        <w:t xml:space="preserve"> </w:t>
      </w:r>
      <w:r w:rsidRPr="008D41EC">
        <w:rPr>
          <w:rFonts w:asciiTheme="minorHAnsi" w:hAnsiTheme="minorHAnsi" w:cs="Univers 45 Light"/>
          <w:color w:val="000000"/>
        </w:rPr>
        <w:t>and guide us in making improvements to ensure everyone can reach their full potential</w:t>
      </w:r>
      <w:r>
        <w:rPr>
          <w:rFonts w:asciiTheme="minorHAnsi" w:hAnsiTheme="minorHAnsi" w:cs="Univers 45 Light"/>
          <w:color w:val="000000"/>
        </w:rPr>
        <w:t xml:space="preserve">. </w:t>
      </w:r>
    </w:p>
    <w:p w14:paraId="5F698E9D" w14:textId="77777777" w:rsidR="006329AF" w:rsidRPr="0059218B" w:rsidRDefault="006329AF" w:rsidP="006329AF">
      <w:pPr>
        <w:pStyle w:val="Pa5"/>
        <w:spacing w:after="160" w:line="264" w:lineRule="auto"/>
        <w:rPr>
          <w:rFonts w:asciiTheme="minorHAnsi" w:hAnsiTheme="minorHAnsi" w:cs="Univers 45 Light"/>
          <w:color w:val="000000"/>
        </w:rPr>
      </w:pPr>
      <w:r>
        <w:rPr>
          <w:rFonts w:asciiTheme="minorHAnsi" w:hAnsiTheme="minorHAnsi" w:cs="Univers 45 Light"/>
          <w:color w:val="000000" w:themeColor="text1"/>
        </w:rPr>
        <w:t xml:space="preserve">We’ll also compare the </w:t>
      </w:r>
      <w:r w:rsidRPr="41ED6CC6">
        <w:rPr>
          <w:rFonts w:asciiTheme="minorHAnsi" w:hAnsiTheme="minorHAnsi" w:cs="Univers 45 Light"/>
          <w:color w:val="000000" w:themeColor="text1"/>
        </w:rPr>
        <w:t xml:space="preserve">data will be compared with national statistics </w:t>
      </w:r>
      <w:r>
        <w:rPr>
          <w:rFonts w:asciiTheme="minorHAnsi" w:hAnsiTheme="minorHAnsi" w:cs="Univers 45 Light"/>
          <w:color w:val="000000" w:themeColor="text1"/>
        </w:rPr>
        <w:t xml:space="preserve">to see </w:t>
      </w:r>
      <w:r w:rsidRPr="41ED6CC6">
        <w:rPr>
          <w:rFonts w:asciiTheme="minorHAnsi" w:hAnsiTheme="minorHAnsi" w:cs="Univers 45 Light"/>
          <w:color w:val="000000" w:themeColor="text1"/>
        </w:rPr>
        <w:t xml:space="preserve">how closely our workforce reflects the communities we operate in. </w:t>
      </w:r>
    </w:p>
    <w:p w14:paraId="6F90FC7E" w14:textId="77777777" w:rsidR="006329AF" w:rsidRPr="0059218B" w:rsidRDefault="006329AF" w:rsidP="006329AF">
      <w:pPr>
        <w:pStyle w:val="Pa28"/>
        <w:spacing w:after="160" w:line="264" w:lineRule="auto"/>
        <w:rPr>
          <w:rFonts w:asciiTheme="minorHAnsi" w:hAnsiTheme="minorHAnsi" w:cs="Univers 45 Light"/>
          <w:color w:val="000000"/>
        </w:rPr>
      </w:pPr>
      <w:r w:rsidRPr="0059218B">
        <w:rPr>
          <w:rFonts w:asciiTheme="minorHAnsi" w:hAnsiTheme="minorHAnsi" w:cs="Univers 45 Light"/>
          <w:b/>
          <w:bCs/>
          <w:color w:val="000000"/>
        </w:rPr>
        <w:t xml:space="preserve">How will your anonymity be protected? </w:t>
      </w:r>
    </w:p>
    <w:p w14:paraId="28335759" w14:textId="12F66C8D" w:rsidR="006329AF" w:rsidRPr="0059218B" w:rsidRDefault="006329AF" w:rsidP="006329AF">
      <w:pPr>
        <w:pStyle w:val="Pa5"/>
        <w:spacing w:after="160" w:line="264" w:lineRule="auto"/>
        <w:rPr>
          <w:rFonts w:asciiTheme="minorHAnsi" w:hAnsiTheme="minorHAnsi" w:cs="Univers 45 Light"/>
          <w:color w:val="000000"/>
        </w:rPr>
      </w:pPr>
      <w:r w:rsidRPr="41ED6CC6">
        <w:rPr>
          <w:rFonts w:asciiTheme="minorHAnsi" w:hAnsiTheme="minorHAnsi" w:cs="Univers 45 Light"/>
          <w:color w:val="000000" w:themeColor="text1"/>
        </w:rPr>
        <w:t xml:space="preserve">The survey </w:t>
      </w:r>
      <w:r>
        <w:rPr>
          <w:rFonts w:asciiTheme="minorHAnsi" w:hAnsiTheme="minorHAnsi" w:cs="Univers 45 Light"/>
          <w:color w:val="000000" w:themeColor="text1"/>
        </w:rPr>
        <w:t xml:space="preserve">won’t ask for </w:t>
      </w:r>
      <w:r w:rsidRPr="41ED6CC6">
        <w:rPr>
          <w:rFonts w:asciiTheme="minorHAnsi" w:hAnsiTheme="minorHAnsi" w:cs="Univers 45 Light"/>
          <w:color w:val="000000" w:themeColor="text1"/>
        </w:rPr>
        <w:t xml:space="preserve">any identifying information, such as your name, email address, </w:t>
      </w:r>
      <w:r>
        <w:rPr>
          <w:rFonts w:asciiTheme="minorHAnsi" w:hAnsiTheme="minorHAnsi" w:cs="Univers 45 Light"/>
          <w:color w:val="000000" w:themeColor="text1"/>
        </w:rPr>
        <w:t>job title</w:t>
      </w:r>
      <w:r w:rsidRPr="41ED6CC6">
        <w:rPr>
          <w:rFonts w:asciiTheme="minorHAnsi" w:hAnsiTheme="minorHAnsi" w:cs="Univers 45 Light"/>
          <w:color w:val="000000" w:themeColor="text1"/>
        </w:rPr>
        <w:t xml:space="preserve"> or department. Any data you share will be </w:t>
      </w:r>
      <w:r>
        <w:rPr>
          <w:rFonts w:asciiTheme="minorHAnsi" w:hAnsiTheme="minorHAnsi" w:cs="Univers 45 Light"/>
          <w:color w:val="000000" w:themeColor="text1"/>
        </w:rPr>
        <w:t>kept confidential in line with</w:t>
      </w:r>
      <w:r w:rsidRPr="41ED6CC6">
        <w:rPr>
          <w:rFonts w:asciiTheme="minorHAnsi" w:hAnsiTheme="minorHAnsi" w:cs="Univers 45 Light"/>
          <w:color w:val="000000" w:themeColor="text1"/>
        </w:rPr>
        <w:t xml:space="preserve"> our data privacy policy &lt;</w:t>
      </w:r>
      <w:r>
        <w:rPr>
          <w:rFonts w:asciiTheme="minorHAnsi" w:hAnsiTheme="minorHAnsi" w:cs="Univers 45 Light"/>
          <w:color w:val="000000" w:themeColor="text1"/>
        </w:rPr>
        <w:t>HYPER</w:t>
      </w:r>
      <w:r w:rsidRPr="41ED6CC6">
        <w:rPr>
          <w:rFonts w:asciiTheme="minorHAnsi" w:hAnsiTheme="minorHAnsi" w:cs="Univers 45 Light"/>
          <w:color w:val="000000" w:themeColor="text1"/>
        </w:rPr>
        <w:t xml:space="preserve">LINK TO POLICY&gt;. </w:t>
      </w:r>
    </w:p>
    <w:p w14:paraId="54AAC89F" w14:textId="77777777" w:rsidR="006329AF" w:rsidRPr="0059218B" w:rsidRDefault="006329AF" w:rsidP="006329AF">
      <w:pPr>
        <w:pStyle w:val="Pa5"/>
        <w:spacing w:after="160" w:line="264" w:lineRule="auto"/>
        <w:rPr>
          <w:rFonts w:asciiTheme="minorHAnsi" w:hAnsiTheme="minorHAnsi" w:cs="Univers 45 Light"/>
          <w:color w:val="000000"/>
        </w:rPr>
      </w:pPr>
      <w:r w:rsidRPr="41ED6CC6">
        <w:rPr>
          <w:rFonts w:asciiTheme="minorHAnsi" w:hAnsiTheme="minorHAnsi" w:cs="Univers 45 Light"/>
          <w:color w:val="000000" w:themeColor="text1"/>
        </w:rPr>
        <w:t xml:space="preserve">Access to survey data will be strictly limited to a small number of authorised &lt;ORGANISATION NAME&gt; employees. Your line manager will not have access. </w:t>
      </w:r>
    </w:p>
    <w:p w14:paraId="36DF6D0E" w14:textId="77777777" w:rsidR="006329AF" w:rsidRPr="0059218B" w:rsidRDefault="006329AF" w:rsidP="006329AF">
      <w:pPr>
        <w:pStyle w:val="Pa5"/>
        <w:spacing w:after="160" w:line="264" w:lineRule="auto"/>
        <w:rPr>
          <w:rFonts w:asciiTheme="minorHAnsi" w:hAnsiTheme="minorHAnsi" w:cs="Univers 45 Light"/>
          <w:color w:val="000000"/>
        </w:rPr>
      </w:pPr>
      <w:r w:rsidRPr="5DF99F6C">
        <w:rPr>
          <w:rFonts w:asciiTheme="minorHAnsi" w:hAnsiTheme="minorHAnsi" w:cs="Univers 45 Light"/>
          <w:color w:val="000000" w:themeColor="text1"/>
        </w:rPr>
        <w:t>Survey data will only be reported anonymously. When we report on the results, we’ll only share combined information – no individual data, employee names or other information at an individual level will be included</w:t>
      </w:r>
    </w:p>
    <w:p w14:paraId="34677E24" w14:textId="77777777" w:rsidR="006329AF" w:rsidRPr="0059218B" w:rsidRDefault="006329AF" w:rsidP="006329AF">
      <w:pPr>
        <w:pStyle w:val="Default"/>
        <w:spacing w:after="160" w:line="264" w:lineRule="auto"/>
        <w:rPr>
          <w:rFonts w:asciiTheme="minorHAnsi" w:hAnsiTheme="minorHAnsi"/>
          <w:b/>
          <w:bCs/>
        </w:rPr>
      </w:pPr>
      <w:r w:rsidRPr="0059218B">
        <w:rPr>
          <w:rFonts w:asciiTheme="minorHAnsi" w:hAnsiTheme="minorHAnsi"/>
          <w:b/>
          <w:bCs/>
        </w:rPr>
        <w:t>Who can you contact about the survey?</w:t>
      </w:r>
    </w:p>
    <w:p w14:paraId="68B0AFA5" w14:textId="71B1808C" w:rsidR="001A075C" w:rsidRPr="006329AF" w:rsidRDefault="006329AF" w:rsidP="007D3CC5">
      <w:r>
        <w:t>I</w:t>
      </w:r>
      <w:r w:rsidRPr="0059218B">
        <w:t>f you have any questions about taking our survey</w:t>
      </w:r>
      <w:r>
        <w:t>,</w:t>
      </w:r>
      <w:r w:rsidRPr="0059218B" w:rsidDel="00962912">
        <w:t xml:space="preserve"> </w:t>
      </w:r>
      <w:r>
        <w:t>p</w:t>
      </w:r>
      <w:r w:rsidRPr="0059218B">
        <w:t>lease contact &lt;KEY CONTACT NAME AND EMAIL&gt;.</w:t>
      </w:r>
      <w:r w:rsidR="001A075C" w:rsidRPr="0059218B">
        <w:br w:type="page"/>
      </w:r>
    </w:p>
    <w:p w14:paraId="01624437" w14:textId="25434317" w:rsidR="00507D4B" w:rsidRPr="0059218B" w:rsidRDefault="00C84F67" w:rsidP="006329AF">
      <w:pPr>
        <w:pStyle w:val="Heading2"/>
      </w:pPr>
      <w:bookmarkStart w:id="12" w:name="_Toc193468423"/>
      <w:r w:rsidRPr="0059218B">
        <w:t>S</w:t>
      </w:r>
      <w:r w:rsidR="007B0F48" w:rsidRPr="0059218B">
        <w:t xml:space="preserve">TEP 3: </w:t>
      </w:r>
      <w:r w:rsidR="005855EB" w:rsidRPr="0059218B">
        <w:t>Analys</w:t>
      </w:r>
      <w:r w:rsidR="00F779BE">
        <w:t>e</w:t>
      </w:r>
      <w:bookmarkEnd w:id="12"/>
      <w:r w:rsidR="005855EB" w:rsidRPr="0059218B">
        <w:t xml:space="preserve"> </w:t>
      </w:r>
    </w:p>
    <w:p w14:paraId="69EA8F05" w14:textId="77777777" w:rsidR="006329AF" w:rsidRDefault="150B919F" w:rsidP="00483095">
      <w:r w:rsidRPr="41ED6CC6">
        <w:t>Once you’ve collected your D&amp;I data, you’ll need to analyse it to understand where to focus your efforts. Analysis involves exploring and benchmarking your data to identify trends, strengths and pain points (areas of opportunity) when it comes to your D&amp;I work.</w:t>
      </w:r>
    </w:p>
    <w:p w14:paraId="68687692" w14:textId="5BC32EE3" w:rsidR="00483095" w:rsidRPr="0059218B" w:rsidRDefault="150B919F" w:rsidP="00483095">
      <w:r w:rsidRPr="41ED6CC6">
        <w:t>For example:</w:t>
      </w:r>
    </w:p>
    <w:p w14:paraId="2ABA1CBA" w14:textId="4AD403C5" w:rsidR="00AA4D5D" w:rsidRPr="0059218B" w:rsidRDefault="00F779BE" w:rsidP="00337E92">
      <w:pPr>
        <w:pStyle w:val="ListParagraph"/>
        <w:numPr>
          <w:ilvl w:val="0"/>
          <w:numId w:val="14"/>
        </w:numPr>
        <w:ind w:left="714" w:hanging="357"/>
        <w:contextualSpacing w:val="0"/>
      </w:pPr>
      <w:r>
        <w:t>H</w:t>
      </w:r>
      <w:r w:rsidR="00483095" w:rsidRPr="0059218B">
        <w:t xml:space="preserve">ow diverse </w:t>
      </w:r>
      <w:r w:rsidR="00CF7B36" w:rsidRPr="0059218B">
        <w:t xml:space="preserve">is </w:t>
      </w:r>
      <w:r w:rsidR="00483095" w:rsidRPr="0059218B">
        <w:t xml:space="preserve">your workforce </w:t>
      </w:r>
      <w:r w:rsidR="00CF7B36" w:rsidRPr="0059218B">
        <w:t xml:space="preserve">compared </w:t>
      </w:r>
      <w:r>
        <w:t>with</w:t>
      </w:r>
      <w:r w:rsidR="00CF7B36" w:rsidRPr="0059218B">
        <w:t xml:space="preserve"> the </w:t>
      </w:r>
      <w:r w:rsidR="00483095" w:rsidRPr="0059218B">
        <w:t xml:space="preserve">diversity of the </w:t>
      </w:r>
      <w:r w:rsidR="00CF7B36" w:rsidRPr="0059218B">
        <w:t xml:space="preserve">Australian </w:t>
      </w:r>
      <w:r w:rsidR="00483095" w:rsidRPr="0059218B">
        <w:t>working population</w:t>
      </w:r>
      <w:r w:rsidR="00AA4D5D" w:rsidRPr="0059218B">
        <w:t xml:space="preserve">? </w:t>
      </w:r>
    </w:p>
    <w:p w14:paraId="4E87ABBA" w14:textId="230FED20" w:rsidR="00AA4D5D" w:rsidRPr="0059218B" w:rsidRDefault="150B919F" w:rsidP="150B919F">
      <w:pPr>
        <w:pStyle w:val="ListParagraph"/>
        <w:numPr>
          <w:ilvl w:val="0"/>
          <w:numId w:val="14"/>
        </w:numPr>
        <w:ind w:left="714" w:hanging="357"/>
      </w:pPr>
      <w:r w:rsidRPr="41ED6CC6">
        <w:t>How diverse is your workforce compared with the diversity of your customer base or the Australian community you operate in or serve?</w:t>
      </w:r>
    </w:p>
    <w:p w14:paraId="2D7EC05E" w14:textId="3508A31E" w:rsidR="00483095" w:rsidRPr="0059218B" w:rsidRDefault="00F779BE" w:rsidP="00337E92">
      <w:pPr>
        <w:pStyle w:val="ListParagraph"/>
        <w:numPr>
          <w:ilvl w:val="0"/>
          <w:numId w:val="14"/>
        </w:numPr>
        <w:ind w:left="714" w:hanging="357"/>
        <w:contextualSpacing w:val="0"/>
      </w:pPr>
      <w:r>
        <w:t>W</w:t>
      </w:r>
      <w:r w:rsidR="00D41788" w:rsidRPr="0059218B">
        <w:t xml:space="preserve">hat are your </w:t>
      </w:r>
      <w:r w:rsidR="00483095" w:rsidRPr="0059218B">
        <w:t>employees' experiences with inclusion and exclusion</w:t>
      </w:r>
      <w:r w:rsidR="00FB546F" w:rsidRPr="0059218B">
        <w:t>?</w:t>
      </w:r>
      <w:r w:rsidR="00483095" w:rsidRPr="0059218B">
        <w:t xml:space="preserve"> </w:t>
      </w:r>
    </w:p>
    <w:p w14:paraId="58219043" w14:textId="106C91EB" w:rsidR="00480101" w:rsidRPr="0059218B" w:rsidRDefault="00F779BE" w:rsidP="00337E92">
      <w:pPr>
        <w:pStyle w:val="ListParagraph"/>
        <w:numPr>
          <w:ilvl w:val="0"/>
          <w:numId w:val="14"/>
        </w:numPr>
        <w:ind w:left="714" w:hanging="357"/>
        <w:contextualSpacing w:val="0"/>
      </w:pPr>
      <w:r>
        <w:t>H</w:t>
      </w:r>
      <w:r w:rsidR="00FB546F" w:rsidRPr="0059218B">
        <w:t xml:space="preserve">ow </w:t>
      </w:r>
      <w:r w:rsidR="00480101" w:rsidRPr="0059218B">
        <w:t xml:space="preserve">do these experiences compare </w:t>
      </w:r>
      <w:r>
        <w:t>with</w:t>
      </w:r>
      <w:r w:rsidR="00480101" w:rsidRPr="0059218B">
        <w:t xml:space="preserve"> national workplace inclusion and exclusion benchmarks? </w:t>
      </w:r>
    </w:p>
    <w:p w14:paraId="72A6ABDD" w14:textId="54684852" w:rsidR="00483095" w:rsidRPr="0059218B" w:rsidRDefault="00F779BE" w:rsidP="00337E92">
      <w:pPr>
        <w:pStyle w:val="ListParagraph"/>
        <w:numPr>
          <w:ilvl w:val="0"/>
          <w:numId w:val="14"/>
        </w:numPr>
        <w:ind w:left="714" w:hanging="357"/>
        <w:contextualSpacing w:val="0"/>
      </w:pPr>
      <w:r>
        <w:t>Do</w:t>
      </w:r>
      <w:r w:rsidR="00FB546F" w:rsidRPr="0059218B">
        <w:t xml:space="preserve"> some </w:t>
      </w:r>
      <w:r w:rsidR="00483095" w:rsidRPr="0059218B">
        <w:t>demographic groups experienc</w:t>
      </w:r>
      <w:r w:rsidR="00FB546F" w:rsidRPr="0059218B">
        <w:t xml:space="preserve">e </w:t>
      </w:r>
      <w:r w:rsidR="00483095" w:rsidRPr="0059218B">
        <w:t>less inclusion and more exclusion</w:t>
      </w:r>
      <w:r w:rsidR="008D0BF1" w:rsidRPr="0059218B">
        <w:t xml:space="preserve"> than others?</w:t>
      </w:r>
      <w:r w:rsidR="00483095" w:rsidRPr="0059218B">
        <w:t xml:space="preserve"> </w:t>
      </w:r>
    </w:p>
    <w:p w14:paraId="3CFB5B82" w14:textId="157EA131" w:rsidR="0065101A" w:rsidRPr="0059218B" w:rsidRDefault="002B0E06" w:rsidP="006329AF">
      <w:pPr>
        <w:pStyle w:val="Heading3"/>
      </w:pPr>
      <w:r w:rsidRPr="0059218B">
        <w:t xml:space="preserve">Calculate </w:t>
      </w:r>
      <w:r w:rsidR="004F4B7D" w:rsidRPr="0059218B">
        <w:t>y</w:t>
      </w:r>
      <w:r w:rsidR="0065101A" w:rsidRPr="0059218B">
        <w:t xml:space="preserve">our </w:t>
      </w:r>
      <w:r w:rsidR="004F4B7D" w:rsidRPr="0059218B">
        <w:t>r</w:t>
      </w:r>
      <w:r w:rsidR="0065101A" w:rsidRPr="0059218B">
        <w:t xml:space="preserve">esponse </w:t>
      </w:r>
      <w:r w:rsidR="004F4B7D" w:rsidRPr="0059218B">
        <w:t>r</w:t>
      </w:r>
      <w:r w:rsidR="0065101A" w:rsidRPr="0059218B">
        <w:t xml:space="preserve">ate </w:t>
      </w:r>
    </w:p>
    <w:p w14:paraId="11BF1EF0" w14:textId="213349A9" w:rsidR="00175E98" w:rsidRPr="0059218B" w:rsidRDefault="150B919F" w:rsidP="00175E98">
      <w:r w:rsidRPr="41ED6CC6">
        <w:rPr>
          <w:b/>
          <w:bCs/>
        </w:rPr>
        <w:t>Why?</w:t>
      </w:r>
      <w:r w:rsidRPr="41ED6CC6">
        <w:t xml:space="preserve"> Calculating a response rate gives you an idea of how representative your D&amp;I data is of your whole workforce. Generally, the higher your response rate, the more confident you can be that the findings are representative. There is no widely agreed-on response rate organisations should aim for. Smaller organisations typically receive bigger response rates (e.g. 60–80%), while large organisations receive lower response rates (e.g. 20–50%). When considering your response rate, consider factors like whether you have collected D&amp;I data before, what your industry is and how many channels you used to communicate. See Step 2 on collecting your data for ways you can boost response rates. </w:t>
      </w:r>
    </w:p>
    <w:p w14:paraId="2F842E00" w14:textId="311EF6EA" w:rsidR="001B366D" w:rsidRPr="0059218B" w:rsidRDefault="150B919F" w:rsidP="41ED6CC6">
      <w:pPr>
        <w:rPr>
          <w:b/>
          <w:bCs/>
        </w:rPr>
      </w:pPr>
      <w:r w:rsidRPr="41ED6CC6">
        <w:rPr>
          <w:b/>
          <w:bCs/>
        </w:rPr>
        <w:t xml:space="preserve">How? </w:t>
      </w:r>
      <w:r w:rsidRPr="41ED6CC6">
        <w:t>Calculate the response rate by dividing the number of employees who responded to your survey by the number of employees you invited to participate. For example, if 100 employees responded and 500 employees were invited to respond, your response rate would be 20% (i.e. 100 divided by 500). This is the same for self-reporting in HR information systems.</w:t>
      </w:r>
    </w:p>
    <w:p w14:paraId="11780A8C" w14:textId="0A5F317F" w:rsidR="00EB5003" w:rsidRPr="0059218B" w:rsidRDefault="00EB5003" w:rsidP="006329AF">
      <w:pPr>
        <w:pStyle w:val="Heading3"/>
      </w:pPr>
      <w:r w:rsidRPr="0059218B">
        <w:t xml:space="preserve">Analyse </w:t>
      </w:r>
      <w:r w:rsidR="004F4B7D" w:rsidRPr="0059218B">
        <w:t>y</w:t>
      </w:r>
      <w:r w:rsidR="005E5A24" w:rsidRPr="0059218B">
        <w:t xml:space="preserve">our </w:t>
      </w:r>
      <w:r w:rsidR="004F4B7D" w:rsidRPr="0059218B">
        <w:t>d</w:t>
      </w:r>
      <w:r w:rsidRPr="0059218B">
        <w:t xml:space="preserve">iversity </w:t>
      </w:r>
      <w:r w:rsidR="004F4B7D" w:rsidRPr="0059218B">
        <w:t>d</w:t>
      </w:r>
      <w:r w:rsidRPr="0059218B">
        <w:t xml:space="preserve">ata at </w:t>
      </w:r>
      <w:r w:rsidR="00F92B3F" w:rsidRPr="0059218B">
        <w:t xml:space="preserve">the </w:t>
      </w:r>
      <w:r w:rsidR="004F4B7D" w:rsidRPr="0059218B">
        <w:t>o</w:t>
      </w:r>
      <w:r w:rsidR="00F92B3F" w:rsidRPr="0059218B">
        <w:t xml:space="preserve">verall </w:t>
      </w:r>
      <w:r w:rsidR="004F4B7D" w:rsidRPr="0059218B">
        <w:t>w</w:t>
      </w:r>
      <w:r w:rsidR="00F92B3F" w:rsidRPr="0059218B">
        <w:t xml:space="preserve">orkforce </w:t>
      </w:r>
      <w:r w:rsidR="004F4B7D" w:rsidRPr="0059218B">
        <w:t>l</w:t>
      </w:r>
      <w:r w:rsidRPr="0059218B">
        <w:t xml:space="preserve">evel </w:t>
      </w:r>
    </w:p>
    <w:p w14:paraId="51A25FB0" w14:textId="0F1DEF26" w:rsidR="009D0201" w:rsidRPr="0059218B" w:rsidRDefault="150B919F" w:rsidP="00D455EE">
      <w:r w:rsidRPr="41ED6CC6">
        <w:rPr>
          <w:b/>
          <w:bCs/>
        </w:rPr>
        <w:t xml:space="preserve">Why? </w:t>
      </w:r>
      <w:r w:rsidRPr="41ED6CC6">
        <w:t>Start by analysing your diversity data at a high level. This involves putting your data into simple percentages that are easy to report on (such as 36% of employees are multilingual or 12% of employees are people with disability). Doing so provides you with summary statistics on the diversity of your workforce, which will help you:</w:t>
      </w:r>
    </w:p>
    <w:p w14:paraId="52B1F740" w14:textId="51AA919C" w:rsidR="00FD7C9D" w:rsidRPr="0059218B" w:rsidRDefault="150B919F" w:rsidP="150B919F">
      <w:pPr>
        <w:pStyle w:val="ListParagraph"/>
        <w:numPr>
          <w:ilvl w:val="0"/>
          <w:numId w:val="43"/>
        </w:numPr>
      </w:pPr>
      <w:r w:rsidRPr="41ED6CC6">
        <w:t xml:space="preserve">benchmark the diversity of your workforce – against, for example, other organisations in your industry, your customer base, the Australian workforce or the Australian </w:t>
      </w:r>
      <w:r w:rsidR="5DAC85F5" w:rsidRPr="41ED6CC6">
        <w:t>population</w:t>
      </w:r>
    </w:p>
    <w:p w14:paraId="61C605A8" w14:textId="2BBABF9D" w:rsidR="00D455EE" w:rsidRPr="0059218B" w:rsidRDefault="0001170B" w:rsidP="00337E92">
      <w:pPr>
        <w:pStyle w:val="ListParagraph"/>
        <w:numPr>
          <w:ilvl w:val="0"/>
          <w:numId w:val="43"/>
        </w:numPr>
        <w:contextualSpacing w:val="0"/>
        <w:rPr>
          <w:szCs w:val="24"/>
        </w:rPr>
      </w:pPr>
      <w:r w:rsidRPr="0059218B">
        <w:rPr>
          <w:szCs w:val="24"/>
        </w:rPr>
        <w:t xml:space="preserve">report on </w:t>
      </w:r>
      <w:r w:rsidR="00D455EE" w:rsidRPr="0059218B">
        <w:rPr>
          <w:szCs w:val="24"/>
        </w:rPr>
        <w:t xml:space="preserve">your workforce diversity </w:t>
      </w:r>
      <w:r w:rsidRPr="0059218B">
        <w:rPr>
          <w:szCs w:val="24"/>
        </w:rPr>
        <w:t>to key stakeholders</w:t>
      </w:r>
    </w:p>
    <w:p w14:paraId="586D546A" w14:textId="68F8FFAD" w:rsidR="0001170B" w:rsidRPr="0059218B" w:rsidRDefault="0001170B" w:rsidP="00337E92">
      <w:pPr>
        <w:pStyle w:val="ListParagraph"/>
        <w:numPr>
          <w:ilvl w:val="0"/>
          <w:numId w:val="43"/>
        </w:numPr>
        <w:contextualSpacing w:val="0"/>
        <w:rPr>
          <w:szCs w:val="24"/>
        </w:rPr>
      </w:pPr>
      <w:r w:rsidRPr="0059218B">
        <w:rPr>
          <w:szCs w:val="24"/>
        </w:rPr>
        <w:t xml:space="preserve">track </w:t>
      </w:r>
      <w:r w:rsidR="00D455EE" w:rsidRPr="0059218B">
        <w:rPr>
          <w:szCs w:val="24"/>
        </w:rPr>
        <w:t xml:space="preserve">your </w:t>
      </w:r>
      <w:r w:rsidRPr="0059218B">
        <w:rPr>
          <w:szCs w:val="24"/>
        </w:rPr>
        <w:t xml:space="preserve">workforce diversity over time. </w:t>
      </w:r>
    </w:p>
    <w:p w14:paraId="754C460A" w14:textId="4C3D4548" w:rsidR="0001170B" w:rsidRPr="0059218B" w:rsidRDefault="00577C3C" w:rsidP="00D455EE">
      <w:pPr>
        <w:rPr>
          <w:szCs w:val="24"/>
        </w:rPr>
      </w:pPr>
      <w:r w:rsidRPr="0059218B">
        <w:rPr>
          <w:b/>
          <w:bCs/>
          <w:szCs w:val="24"/>
        </w:rPr>
        <w:t xml:space="preserve">How? </w:t>
      </w:r>
      <w:r w:rsidR="0001170B" w:rsidRPr="0059218B">
        <w:rPr>
          <w:szCs w:val="24"/>
        </w:rPr>
        <w:t xml:space="preserve">To get these high-level percentages, you will need to work with both your single and </w:t>
      </w:r>
      <w:r w:rsidR="00D018FB">
        <w:rPr>
          <w:szCs w:val="24"/>
        </w:rPr>
        <w:t xml:space="preserve">your </w:t>
      </w:r>
      <w:r w:rsidR="0001170B" w:rsidRPr="0059218B">
        <w:rPr>
          <w:szCs w:val="24"/>
        </w:rPr>
        <w:t>multi-select question data</w:t>
      </w:r>
      <w:r w:rsidR="00D018FB">
        <w:rPr>
          <w:szCs w:val="24"/>
        </w:rPr>
        <w:t xml:space="preserve"> as follows</w:t>
      </w:r>
      <w:r w:rsidR="0001170B" w:rsidRPr="0059218B">
        <w:rPr>
          <w:szCs w:val="24"/>
        </w:rPr>
        <w:t xml:space="preserve">. </w:t>
      </w:r>
    </w:p>
    <w:p w14:paraId="603B25EC" w14:textId="24C6D6CC" w:rsidR="00D53448" w:rsidRPr="0059218B" w:rsidRDefault="00C708EB" w:rsidP="0001170B">
      <w:pPr>
        <w:rPr>
          <w:szCs w:val="24"/>
        </w:rPr>
      </w:pPr>
      <w:r w:rsidRPr="0059218B">
        <w:rPr>
          <w:b/>
          <w:bCs/>
          <w:szCs w:val="24"/>
        </w:rPr>
        <w:t>Single-select questions</w:t>
      </w:r>
      <w:r w:rsidR="00C53BA6" w:rsidRPr="0059218B">
        <w:rPr>
          <w:b/>
          <w:bCs/>
          <w:szCs w:val="24"/>
        </w:rPr>
        <w:t xml:space="preserve">. </w:t>
      </w:r>
      <w:r w:rsidR="00C53BA6" w:rsidRPr="0059218B">
        <w:rPr>
          <w:szCs w:val="24"/>
        </w:rPr>
        <w:t>In these questions,</w:t>
      </w:r>
      <w:r w:rsidRPr="0059218B">
        <w:rPr>
          <w:szCs w:val="24"/>
        </w:rPr>
        <w:t xml:space="preserve"> employees can only select one response</w:t>
      </w:r>
      <w:r w:rsidR="00D53448" w:rsidRPr="0059218B">
        <w:rPr>
          <w:szCs w:val="24"/>
        </w:rPr>
        <w:t xml:space="preserve">, so </w:t>
      </w:r>
      <w:r w:rsidR="008E1AF5">
        <w:rPr>
          <w:szCs w:val="24"/>
        </w:rPr>
        <w:t>the data is</w:t>
      </w:r>
      <w:r w:rsidR="00D53448" w:rsidRPr="0059218B">
        <w:rPr>
          <w:szCs w:val="24"/>
        </w:rPr>
        <w:t xml:space="preserve"> easier to analyse</w:t>
      </w:r>
      <w:r w:rsidRPr="0059218B">
        <w:rPr>
          <w:szCs w:val="24"/>
        </w:rPr>
        <w:t xml:space="preserve">. </w:t>
      </w:r>
    </w:p>
    <w:p w14:paraId="1403FC6F" w14:textId="6B8F0425" w:rsidR="007554DB" w:rsidRPr="0059218B" w:rsidRDefault="00D53448" w:rsidP="00337E92">
      <w:pPr>
        <w:pStyle w:val="ListParagraph"/>
        <w:numPr>
          <w:ilvl w:val="0"/>
          <w:numId w:val="44"/>
        </w:numPr>
        <w:ind w:left="714" w:hanging="357"/>
        <w:contextualSpacing w:val="0"/>
        <w:rPr>
          <w:b/>
          <w:bCs/>
          <w:szCs w:val="24"/>
        </w:rPr>
      </w:pPr>
      <w:r w:rsidRPr="0059218B">
        <w:rPr>
          <w:szCs w:val="24"/>
        </w:rPr>
        <w:t xml:space="preserve">Some </w:t>
      </w:r>
      <w:r w:rsidR="007554DB" w:rsidRPr="0059218B">
        <w:rPr>
          <w:szCs w:val="24"/>
        </w:rPr>
        <w:t xml:space="preserve">single-select </w:t>
      </w:r>
      <w:r w:rsidRPr="0059218B">
        <w:rPr>
          <w:szCs w:val="24"/>
        </w:rPr>
        <w:t>questions only have</w:t>
      </w:r>
      <w:r w:rsidR="00C708EB" w:rsidRPr="0059218B">
        <w:rPr>
          <w:szCs w:val="24"/>
        </w:rPr>
        <w:t xml:space="preserve"> </w:t>
      </w:r>
      <w:r w:rsidR="002B591B">
        <w:rPr>
          <w:szCs w:val="24"/>
        </w:rPr>
        <w:t>“</w:t>
      </w:r>
      <w:r w:rsidR="00C708EB" w:rsidRPr="0059218B">
        <w:rPr>
          <w:szCs w:val="24"/>
        </w:rPr>
        <w:t>Yes</w:t>
      </w:r>
      <w:r w:rsidR="002B591B">
        <w:rPr>
          <w:szCs w:val="24"/>
        </w:rPr>
        <w:t>”</w:t>
      </w:r>
      <w:r w:rsidR="007554DB" w:rsidRPr="0059218B">
        <w:rPr>
          <w:szCs w:val="24"/>
        </w:rPr>
        <w:t xml:space="preserve"> or</w:t>
      </w:r>
      <w:r w:rsidR="00C708EB" w:rsidRPr="0059218B">
        <w:rPr>
          <w:szCs w:val="24"/>
        </w:rPr>
        <w:t xml:space="preserve"> </w:t>
      </w:r>
      <w:r w:rsidR="002B591B">
        <w:rPr>
          <w:szCs w:val="24"/>
        </w:rPr>
        <w:t>“</w:t>
      </w:r>
      <w:r w:rsidR="00C708EB" w:rsidRPr="0059218B">
        <w:rPr>
          <w:szCs w:val="24"/>
        </w:rPr>
        <w:t>No</w:t>
      </w:r>
      <w:r w:rsidR="002B591B">
        <w:rPr>
          <w:szCs w:val="24"/>
        </w:rPr>
        <w:t>”</w:t>
      </w:r>
      <w:r w:rsidR="00C708EB" w:rsidRPr="0059218B">
        <w:rPr>
          <w:szCs w:val="24"/>
        </w:rPr>
        <w:t xml:space="preserve"> response options</w:t>
      </w:r>
      <w:r w:rsidR="00E7659B">
        <w:rPr>
          <w:szCs w:val="24"/>
        </w:rPr>
        <w:t xml:space="preserve"> – for example,</w:t>
      </w:r>
      <w:r w:rsidR="00E1730F" w:rsidRPr="0059218B">
        <w:rPr>
          <w:szCs w:val="24"/>
        </w:rPr>
        <w:t xml:space="preserve"> </w:t>
      </w:r>
      <w:r w:rsidR="00E7659B">
        <w:rPr>
          <w:szCs w:val="24"/>
        </w:rPr>
        <w:t>“</w:t>
      </w:r>
      <w:r w:rsidR="00E1730F" w:rsidRPr="0059218B">
        <w:rPr>
          <w:szCs w:val="24"/>
        </w:rPr>
        <w:t xml:space="preserve">Do you identify as a person with </w:t>
      </w:r>
      <w:r w:rsidR="00DD6B39" w:rsidRPr="0059218B">
        <w:rPr>
          <w:szCs w:val="24"/>
        </w:rPr>
        <w:t>disability, illness or injury?</w:t>
      </w:r>
      <w:r w:rsidR="00E7659B">
        <w:rPr>
          <w:szCs w:val="24"/>
        </w:rPr>
        <w:t>”</w:t>
      </w:r>
      <w:r w:rsidRPr="0059218B">
        <w:rPr>
          <w:szCs w:val="24"/>
        </w:rPr>
        <w:t xml:space="preserve"> This means </w:t>
      </w:r>
      <w:r w:rsidR="00E1730F" w:rsidRPr="0059218B">
        <w:rPr>
          <w:szCs w:val="24"/>
        </w:rPr>
        <w:t xml:space="preserve">you will not have to </w:t>
      </w:r>
      <w:r w:rsidR="00C708EB" w:rsidRPr="0059218B">
        <w:rPr>
          <w:szCs w:val="24"/>
        </w:rPr>
        <w:t>group</w:t>
      </w:r>
      <w:r w:rsidR="007554DB" w:rsidRPr="0059218B">
        <w:rPr>
          <w:szCs w:val="24"/>
        </w:rPr>
        <w:t xml:space="preserve"> response options </w:t>
      </w:r>
      <w:r w:rsidR="00E1730F" w:rsidRPr="0059218B">
        <w:rPr>
          <w:szCs w:val="24"/>
        </w:rPr>
        <w:t xml:space="preserve">as part of </w:t>
      </w:r>
      <w:r w:rsidR="00E7659B">
        <w:rPr>
          <w:szCs w:val="24"/>
        </w:rPr>
        <w:t xml:space="preserve">your </w:t>
      </w:r>
      <w:r w:rsidR="00E1730F" w:rsidRPr="0059218B">
        <w:rPr>
          <w:szCs w:val="24"/>
        </w:rPr>
        <w:t>analysis</w:t>
      </w:r>
      <w:r w:rsidR="007554DB" w:rsidRPr="0059218B">
        <w:rPr>
          <w:szCs w:val="24"/>
        </w:rPr>
        <w:t>.</w:t>
      </w:r>
      <w:r w:rsidR="00E1730F" w:rsidRPr="0059218B">
        <w:rPr>
          <w:szCs w:val="24"/>
        </w:rPr>
        <w:t xml:space="preserve"> </w:t>
      </w:r>
    </w:p>
    <w:p w14:paraId="4C0F689A" w14:textId="0B51587B" w:rsidR="00291E72" w:rsidRPr="006329AF" w:rsidRDefault="150B919F" w:rsidP="41ED6CC6">
      <w:pPr>
        <w:pStyle w:val="ListParagraph"/>
        <w:numPr>
          <w:ilvl w:val="0"/>
          <w:numId w:val="44"/>
        </w:numPr>
        <w:ind w:left="714" w:hanging="357"/>
        <w:rPr>
          <w:b/>
          <w:bCs/>
        </w:rPr>
      </w:pPr>
      <w:r w:rsidRPr="41ED6CC6">
        <w:t xml:space="preserve">Other single-select questions may require grouping – for example, “Do you identify as an Aboriginal and/or Torres Strait Islander person?” This would require you to group the percentages of employees who selected “Yes, Aboriginal”, “Yes, Torres Strait Islander” and “Yes, both Aboriginal and Torres Strait Islander” into one overall percentage. This percentage would then show Aboriginal and/or Torres Strait Islander representation in your workforce. </w:t>
      </w:r>
    </w:p>
    <w:p w14:paraId="26B440C0" w14:textId="3BD67FE4" w:rsidR="006329AF" w:rsidRDefault="006329AF" w:rsidP="006329AF">
      <w:pPr>
        <w:pStyle w:val="Heading4"/>
      </w:pPr>
      <w:r>
        <w:t>Example</w:t>
      </w:r>
      <w:r w:rsidR="00292534">
        <w:t>: Imagine your organisation’s employee survey had these results</w:t>
      </w:r>
    </w:p>
    <w:p w14:paraId="645EAD1E" w14:textId="77777777" w:rsidR="00292534" w:rsidRPr="0059218B" w:rsidRDefault="00292534" w:rsidP="00292534">
      <w:pPr>
        <w:pStyle w:val="ListParagraph"/>
        <w:numPr>
          <w:ilvl w:val="0"/>
          <w:numId w:val="15"/>
        </w:numPr>
        <w:spacing w:line="264" w:lineRule="auto"/>
        <w:ind w:left="1434" w:hanging="357"/>
        <w:contextualSpacing w:val="0"/>
      </w:pPr>
      <w:r w:rsidRPr="0059218B">
        <w:t>Yes, Aboriginal: 1.7%</w:t>
      </w:r>
    </w:p>
    <w:p w14:paraId="1F244C57" w14:textId="77777777" w:rsidR="00292534" w:rsidRPr="0059218B" w:rsidRDefault="00292534" w:rsidP="00292534">
      <w:pPr>
        <w:pStyle w:val="ListParagraph"/>
        <w:numPr>
          <w:ilvl w:val="0"/>
          <w:numId w:val="15"/>
        </w:numPr>
        <w:spacing w:line="264" w:lineRule="auto"/>
        <w:ind w:left="1434" w:hanging="357"/>
        <w:contextualSpacing w:val="0"/>
      </w:pPr>
      <w:r w:rsidRPr="0059218B">
        <w:t>Yes, Torres Strait Islander: 0.8%</w:t>
      </w:r>
    </w:p>
    <w:p w14:paraId="4E91636C" w14:textId="77777777" w:rsidR="00292534" w:rsidRPr="0059218B" w:rsidRDefault="00292534" w:rsidP="00292534">
      <w:pPr>
        <w:pStyle w:val="ListParagraph"/>
        <w:numPr>
          <w:ilvl w:val="0"/>
          <w:numId w:val="15"/>
        </w:numPr>
        <w:spacing w:line="264" w:lineRule="auto"/>
        <w:ind w:left="1434" w:hanging="357"/>
        <w:contextualSpacing w:val="0"/>
      </w:pPr>
      <w:r w:rsidRPr="0059218B">
        <w:t>Yes, Aboriginal and/or Torres Strait Islander: 0.9%</w:t>
      </w:r>
      <w:r>
        <w:t>.</w:t>
      </w:r>
    </w:p>
    <w:p w14:paraId="244D838D" w14:textId="403159FB" w:rsidR="008E1AF5" w:rsidRPr="00292534" w:rsidRDefault="00292534" w:rsidP="000D39FA">
      <w:r w:rsidRPr="0059218B">
        <w:rPr>
          <w:szCs w:val="24"/>
        </w:rPr>
        <w:t>Grouping the</w:t>
      </w:r>
      <w:r>
        <w:rPr>
          <w:szCs w:val="24"/>
        </w:rPr>
        <w:t>se</w:t>
      </w:r>
      <w:r w:rsidRPr="0059218B">
        <w:rPr>
          <w:szCs w:val="24"/>
        </w:rPr>
        <w:t xml:space="preserve"> </w:t>
      </w:r>
      <w:r>
        <w:rPr>
          <w:szCs w:val="24"/>
        </w:rPr>
        <w:t>percentages</w:t>
      </w:r>
      <w:r w:rsidRPr="0059218B">
        <w:rPr>
          <w:szCs w:val="24"/>
        </w:rPr>
        <w:t xml:space="preserve"> would result in 3.4% for your organisation’s Aboriginal and/or Torres Strait Islander workforce representation.</w:t>
      </w:r>
    </w:p>
    <w:p w14:paraId="4D91F221" w14:textId="16AA31E7" w:rsidR="00292534" w:rsidRDefault="00200BB8" w:rsidP="00292534">
      <w:pPr>
        <w:pStyle w:val="Heading3"/>
      </w:pPr>
      <w:r>
        <w:t>Analyse your diversity data at the overall workforce level (continued)</w:t>
      </w:r>
    </w:p>
    <w:p w14:paraId="5C0A2BDF" w14:textId="14EFC62A" w:rsidR="00291E72" w:rsidRDefault="0001170B" w:rsidP="000D39FA">
      <w:pPr>
        <w:rPr>
          <w:szCs w:val="24"/>
        </w:rPr>
      </w:pPr>
      <w:r w:rsidRPr="0059218B">
        <w:rPr>
          <w:b/>
          <w:bCs/>
          <w:szCs w:val="24"/>
        </w:rPr>
        <w:t>Multi-select questions</w:t>
      </w:r>
      <w:r w:rsidR="00A41974" w:rsidRPr="0059218B">
        <w:rPr>
          <w:b/>
          <w:bCs/>
          <w:szCs w:val="24"/>
        </w:rPr>
        <w:t xml:space="preserve">. </w:t>
      </w:r>
      <w:r w:rsidR="00A41974" w:rsidRPr="0059218B">
        <w:rPr>
          <w:szCs w:val="24"/>
        </w:rPr>
        <w:t>In these questions, employees</w:t>
      </w:r>
      <w:r w:rsidRPr="0059218B">
        <w:rPr>
          <w:szCs w:val="24"/>
        </w:rPr>
        <w:t xml:space="preserve"> can select one or more responses. As a result, percentages for multi-select questions usually total more than 100%. </w:t>
      </w:r>
      <w:r w:rsidR="002B591B">
        <w:rPr>
          <w:szCs w:val="24"/>
        </w:rPr>
        <w:t>You will need to do</w:t>
      </w:r>
      <w:r w:rsidRPr="0059218B">
        <w:rPr>
          <w:szCs w:val="24"/>
        </w:rPr>
        <w:t xml:space="preserve"> </w:t>
      </w:r>
      <w:r w:rsidR="0051664F" w:rsidRPr="0059218B">
        <w:rPr>
          <w:szCs w:val="24"/>
        </w:rPr>
        <w:t xml:space="preserve">more </w:t>
      </w:r>
      <w:r w:rsidR="007D0FF2" w:rsidRPr="0059218B">
        <w:rPr>
          <w:szCs w:val="24"/>
        </w:rPr>
        <w:t xml:space="preserve">analytical </w:t>
      </w:r>
      <w:r w:rsidRPr="0059218B">
        <w:rPr>
          <w:szCs w:val="24"/>
        </w:rPr>
        <w:t xml:space="preserve">work </w:t>
      </w:r>
      <w:r w:rsidR="00BE4F59" w:rsidRPr="0059218B">
        <w:rPr>
          <w:szCs w:val="24"/>
        </w:rPr>
        <w:t>to create a</w:t>
      </w:r>
      <w:r w:rsidR="00C80319" w:rsidRPr="0059218B">
        <w:rPr>
          <w:szCs w:val="24"/>
        </w:rPr>
        <w:t xml:space="preserve"> total </w:t>
      </w:r>
      <w:r w:rsidR="00BE4F59" w:rsidRPr="0059218B">
        <w:rPr>
          <w:szCs w:val="24"/>
        </w:rPr>
        <w:t>percentage</w:t>
      </w:r>
      <w:r w:rsidR="00C80319" w:rsidRPr="0059218B">
        <w:rPr>
          <w:szCs w:val="24"/>
        </w:rPr>
        <w:t xml:space="preserve"> </w:t>
      </w:r>
      <w:r w:rsidR="002B591B">
        <w:rPr>
          <w:szCs w:val="24"/>
        </w:rPr>
        <w:t>of</w:t>
      </w:r>
      <w:r w:rsidR="00C80319" w:rsidRPr="0059218B">
        <w:rPr>
          <w:szCs w:val="24"/>
        </w:rPr>
        <w:t xml:space="preserve"> 100%</w:t>
      </w:r>
      <w:r w:rsidR="002B591B">
        <w:rPr>
          <w:szCs w:val="24"/>
        </w:rPr>
        <w:t xml:space="preserve">, by </w:t>
      </w:r>
      <w:r w:rsidRPr="0059218B">
        <w:rPr>
          <w:szCs w:val="24"/>
        </w:rPr>
        <w:t>subtract</w:t>
      </w:r>
      <w:r w:rsidR="002B591B">
        <w:rPr>
          <w:szCs w:val="24"/>
        </w:rPr>
        <w:t>ing the</w:t>
      </w:r>
      <w:r w:rsidRPr="0059218B">
        <w:rPr>
          <w:szCs w:val="24"/>
        </w:rPr>
        <w:t xml:space="preserve"> “No” and “Prefer not to say” percentages from 100%. </w:t>
      </w:r>
    </w:p>
    <w:p w14:paraId="53575E44" w14:textId="545016EC" w:rsidR="00200BB8" w:rsidRDefault="00200BB8" w:rsidP="00200BB8">
      <w:pPr>
        <w:pStyle w:val="Heading4"/>
      </w:pPr>
      <w:r>
        <w:t>Example: A question about caring responsibilities may allow employees to select from multiple response options.</w:t>
      </w:r>
    </w:p>
    <w:p w14:paraId="417640F6" w14:textId="77777777" w:rsidR="00200BB8" w:rsidRPr="0059218B" w:rsidRDefault="00200BB8" w:rsidP="00200BB8">
      <w:pPr>
        <w:pStyle w:val="ListParagraph"/>
        <w:numPr>
          <w:ilvl w:val="0"/>
          <w:numId w:val="6"/>
        </w:numPr>
        <w:spacing w:line="264" w:lineRule="auto"/>
        <w:ind w:left="1485" w:hanging="357"/>
      </w:pPr>
      <w:r w:rsidRPr="41ED6CC6">
        <w:t>Yes, caring for a child/children with disability: 11%</w:t>
      </w:r>
    </w:p>
    <w:p w14:paraId="70A6E5BF" w14:textId="77777777" w:rsidR="00200BB8" w:rsidRPr="0059218B" w:rsidRDefault="00200BB8" w:rsidP="00200BB8">
      <w:pPr>
        <w:pStyle w:val="ListParagraph"/>
        <w:numPr>
          <w:ilvl w:val="0"/>
          <w:numId w:val="6"/>
        </w:numPr>
        <w:spacing w:line="264" w:lineRule="auto"/>
        <w:ind w:left="1485" w:hanging="357"/>
      </w:pPr>
      <w:r w:rsidRPr="41ED6CC6">
        <w:t>Yes, caring for a child/children without disability: 38%</w:t>
      </w:r>
    </w:p>
    <w:p w14:paraId="4DC8BC0F" w14:textId="77777777" w:rsidR="00200BB8" w:rsidRPr="0059218B" w:rsidRDefault="00200BB8" w:rsidP="00200BB8">
      <w:pPr>
        <w:pStyle w:val="ListParagraph"/>
        <w:numPr>
          <w:ilvl w:val="0"/>
          <w:numId w:val="6"/>
        </w:numPr>
        <w:spacing w:line="264" w:lineRule="auto"/>
        <w:ind w:left="1485" w:hanging="357"/>
      </w:pPr>
      <w:r w:rsidRPr="41ED6CC6">
        <w:t xml:space="preserve">Yes, caring for an adult/adults with disability: 12% </w:t>
      </w:r>
    </w:p>
    <w:p w14:paraId="28E3660A" w14:textId="77777777" w:rsidR="00200BB8" w:rsidRPr="0059218B" w:rsidRDefault="00200BB8" w:rsidP="00200BB8">
      <w:pPr>
        <w:pStyle w:val="ListParagraph"/>
        <w:numPr>
          <w:ilvl w:val="0"/>
          <w:numId w:val="6"/>
        </w:numPr>
        <w:spacing w:line="264" w:lineRule="auto"/>
        <w:ind w:left="1485" w:hanging="357"/>
      </w:pPr>
      <w:r w:rsidRPr="41ED6CC6">
        <w:t xml:space="preserve">Yes, caring for an adult/adults without disability: 14% </w:t>
      </w:r>
    </w:p>
    <w:p w14:paraId="36CE5843" w14:textId="77777777" w:rsidR="00200BB8" w:rsidRPr="0059218B" w:rsidRDefault="00200BB8" w:rsidP="00200BB8">
      <w:pPr>
        <w:pStyle w:val="ListParagraph"/>
        <w:numPr>
          <w:ilvl w:val="0"/>
          <w:numId w:val="6"/>
        </w:numPr>
        <w:spacing w:line="264" w:lineRule="auto"/>
        <w:ind w:left="1485" w:hanging="357"/>
        <w:contextualSpacing w:val="0"/>
        <w:rPr>
          <w:szCs w:val="24"/>
        </w:rPr>
      </w:pPr>
      <w:r w:rsidRPr="0059218B">
        <w:rPr>
          <w:szCs w:val="24"/>
        </w:rPr>
        <w:t>No: 48%</w:t>
      </w:r>
    </w:p>
    <w:p w14:paraId="251CD8E2" w14:textId="77777777" w:rsidR="00200BB8" w:rsidRDefault="00200BB8" w:rsidP="00200BB8">
      <w:pPr>
        <w:pStyle w:val="ListParagraph"/>
        <w:numPr>
          <w:ilvl w:val="0"/>
          <w:numId w:val="6"/>
        </w:numPr>
        <w:spacing w:line="264" w:lineRule="auto"/>
        <w:ind w:left="1485" w:hanging="357"/>
        <w:contextualSpacing w:val="0"/>
        <w:rPr>
          <w:szCs w:val="24"/>
        </w:rPr>
      </w:pPr>
      <w:r w:rsidRPr="0059218B">
        <w:rPr>
          <w:szCs w:val="24"/>
        </w:rPr>
        <w:t>Prefer not to say: 7%</w:t>
      </w:r>
    </w:p>
    <w:p w14:paraId="6557D54A" w14:textId="0E487097" w:rsidR="0027477B" w:rsidRPr="00200BB8" w:rsidRDefault="00200BB8" w:rsidP="00586D90">
      <w:r w:rsidRPr="0059218B">
        <w:t>I</w:t>
      </w:r>
      <w:r w:rsidRPr="0059218B">
        <w:rPr>
          <w:szCs w:val="24"/>
        </w:rPr>
        <w:t>f your organisation had the</w:t>
      </w:r>
      <w:r>
        <w:rPr>
          <w:szCs w:val="24"/>
        </w:rPr>
        <w:t xml:space="preserve">se </w:t>
      </w:r>
      <w:r w:rsidRPr="0059218B">
        <w:rPr>
          <w:szCs w:val="24"/>
        </w:rPr>
        <w:t>results, you could create a total percentage out of 100% by subtracting the “No” responses (48%) and the “Prefer not to say” (7%) responses from 100%. This would give a total percentage of 45% of your workforce having one or more caring responsibilities.</w:t>
      </w:r>
    </w:p>
    <w:p w14:paraId="1A14F1A8" w14:textId="3789D827" w:rsidR="00FF4207" w:rsidRDefault="00E96A96" w:rsidP="00FF4207">
      <w:r w:rsidRPr="0059218B">
        <w:rPr>
          <w:b/>
          <w:bCs/>
        </w:rPr>
        <w:t xml:space="preserve">Do you need more help </w:t>
      </w:r>
      <w:r w:rsidR="00FF4207" w:rsidRPr="0059218B">
        <w:rPr>
          <w:b/>
          <w:bCs/>
        </w:rPr>
        <w:t>calculat</w:t>
      </w:r>
      <w:r w:rsidR="001B42F5" w:rsidRPr="0059218B">
        <w:rPr>
          <w:b/>
          <w:bCs/>
        </w:rPr>
        <w:t>ing</w:t>
      </w:r>
      <w:r w:rsidR="00FF4207" w:rsidRPr="0059218B">
        <w:rPr>
          <w:b/>
          <w:bCs/>
        </w:rPr>
        <w:t xml:space="preserve"> </w:t>
      </w:r>
      <w:r w:rsidR="001B42F5" w:rsidRPr="0059218B">
        <w:rPr>
          <w:b/>
          <w:bCs/>
        </w:rPr>
        <w:t xml:space="preserve">overall </w:t>
      </w:r>
      <w:r w:rsidR="00FF4207" w:rsidRPr="0059218B">
        <w:rPr>
          <w:b/>
          <w:bCs/>
        </w:rPr>
        <w:t>diversity percentages</w:t>
      </w:r>
      <w:r w:rsidRPr="0059218B">
        <w:rPr>
          <w:b/>
          <w:bCs/>
        </w:rPr>
        <w:t>?</w:t>
      </w:r>
      <w:r w:rsidR="00FF4207" w:rsidRPr="0059218B">
        <w:rPr>
          <w:b/>
          <w:bCs/>
        </w:rPr>
        <w:t xml:space="preserve"> </w:t>
      </w:r>
      <w:r w:rsidR="002C5B5C" w:rsidRPr="0059218B">
        <w:t>U</w:t>
      </w:r>
      <w:r w:rsidR="00EC1B8B" w:rsidRPr="0059218B">
        <w:t>s</w:t>
      </w:r>
      <w:r w:rsidR="002C5B5C" w:rsidRPr="0059218B">
        <w:t xml:space="preserve">e DCA’s </w:t>
      </w:r>
      <w:hyperlink r:id="rId21" w:anchor="infographic" w:history="1">
        <w:r w:rsidR="00EC1B8B" w:rsidRPr="00EC77F7">
          <w:rPr>
            <w:rStyle w:val="Hyperlink"/>
          </w:rPr>
          <w:t>D</w:t>
        </w:r>
        <w:r w:rsidR="00BD65F7" w:rsidRPr="00EC77F7">
          <w:rPr>
            <w:rStyle w:val="Hyperlink"/>
          </w:rPr>
          <w:t>&amp;I</w:t>
        </w:r>
        <w:r w:rsidR="00665EF3" w:rsidRPr="00EC77F7">
          <w:rPr>
            <w:rStyle w:val="Hyperlink"/>
          </w:rPr>
          <w:t xml:space="preserve"> </w:t>
        </w:r>
        <w:r w:rsidR="00EC1B8B" w:rsidRPr="00EC77F7">
          <w:rPr>
            <w:rStyle w:val="Hyperlink"/>
          </w:rPr>
          <w:t>Data at Work: Questions and Response Options</w:t>
        </w:r>
      </w:hyperlink>
      <w:r w:rsidR="00665EF3" w:rsidRPr="0059218B">
        <w:t xml:space="preserve"> to collect your diversity dataset</w:t>
      </w:r>
      <w:r w:rsidR="00EC1B8B" w:rsidRPr="0059218B">
        <w:t xml:space="preserve">. </w:t>
      </w:r>
      <w:r w:rsidR="00665EF3" w:rsidRPr="0059218B">
        <w:t>Then u</w:t>
      </w:r>
      <w:r w:rsidRPr="0059218B">
        <w:rPr>
          <w:szCs w:val="24"/>
        </w:rPr>
        <w:t xml:space="preserve">se the table in </w:t>
      </w:r>
      <w:r w:rsidRPr="00AA3ACF">
        <w:rPr>
          <w:szCs w:val="24"/>
        </w:rPr>
        <w:t>Appendix A</w:t>
      </w:r>
      <w:r w:rsidRPr="0059218B">
        <w:rPr>
          <w:szCs w:val="24"/>
        </w:rPr>
        <w:t xml:space="preserve"> to calculate your </w:t>
      </w:r>
      <w:r w:rsidR="00F92B3F" w:rsidRPr="0059218B">
        <w:t xml:space="preserve">overall </w:t>
      </w:r>
      <w:r w:rsidR="00FF4207" w:rsidRPr="0059218B">
        <w:t>workforce diversity statistics</w:t>
      </w:r>
      <w:r w:rsidR="00CE0159">
        <w:t>. T</w:t>
      </w:r>
      <w:r w:rsidR="008727EE" w:rsidRPr="0059218B">
        <w:t>his</w:t>
      </w:r>
      <w:r w:rsidR="00CE0159">
        <w:t xml:space="preserve"> table</w:t>
      </w:r>
      <w:r w:rsidR="008727EE" w:rsidRPr="0059218B">
        <w:t xml:space="preserve"> covers both </w:t>
      </w:r>
      <w:r w:rsidR="008727EE" w:rsidRPr="0059218B">
        <w:rPr>
          <w:szCs w:val="24"/>
        </w:rPr>
        <w:t>single-select and multi-select</w:t>
      </w:r>
      <w:r w:rsidR="008727EE" w:rsidRPr="0059218B">
        <w:t xml:space="preserve"> response options. </w:t>
      </w:r>
    </w:p>
    <w:p w14:paraId="1E974BC4" w14:textId="174EC81E" w:rsidR="00AA3ACF" w:rsidRDefault="00AA3ACF" w:rsidP="00AA3ACF">
      <w:pPr>
        <w:pStyle w:val="Heading4"/>
      </w:pPr>
      <w:r>
        <w:t>Leading practice tip: Review your “Prefer not to say” responses</w:t>
      </w:r>
    </w:p>
    <w:p w14:paraId="6B6F42BF" w14:textId="77777777" w:rsidR="00AA3ACF" w:rsidRPr="0059218B" w:rsidRDefault="00AA3ACF" w:rsidP="00AA3ACF">
      <w:pPr>
        <w:spacing w:line="264" w:lineRule="auto"/>
        <w:rPr>
          <w:szCs w:val="24"/>
        </w:rPr>
      </w:pPr>
      <w:r w:rsidRPr="0059218B">
        <w:rPr>
          <w:szCs w:val="24"/>
        </w:rPr>
        <w:t>It might be tempting to ignore your results for “</w:t>
      </w:r>
      <w:r>
        <w:rPr>
          <w:szCs w:val="24"/>
        </w:rPr>
        <w:t>P</w:t>
      </w:r>
      <w:r w:rsidRPr="0059218B">
        <w:rPr>
          <w:szCs w:val="24"/>
        </w:rPr>
        <w:t xml:space="preserve">refer not to say” responses when going through your D&amp;I data. However, these responses can be insightful to gauge how safe employees feel to share: </w:t>
      </w:r>
    </w:p>
    <w:p w14:paraId="26609073" w14:textId="77777777" w:rsidR="00AA3ACF" w:rsidRPr="0059218B" w:rsidRDefault="00AA3ACF" w:rsidP="00AA3ACF">
      <w:pPr>
        <w:pStyle w:val="ListParagraph"/>
        <w:numPr>
          <w:ilvl w:val="0"/>
          <w:numId w:val="24"/>
        </w:numPr>
        <w:spacing w:line="264" w:lineRule="auto"/>
        <w:contextualSpacing w:val="0"/>
        <w:rPr>
          <w:szCs w:val="24"/>
        </w:rPr>
      </w:pPr>
      <w:r w:rsidRPr="0059218B">
        <w:rPr>
          <w:szCs w:val="24"/>
        </w:rPr>
        <w:t>their diversity data and inclusion experiences with you in surveys and HR</w:t>
      </w:r>
      <w:r>
        <w:rPr>
          <w:szCs w:val="24"/>
        </w:rPr>
        <w:t xml:space="preserve"> information systems</w:t>
      </w:r>
    </w:p>
    <w:p w14:paraId="61925761" w14:textId="77777777" w:rsidR="00AA3ACF" w:rsidRPr="0059218B" w:rsidRDefault="00AA3ACF" w:rsidP="00AA3ACF">
      <w:pPr>
        <w:pStyle w:val="ListParagraph"/>
        <w:numPr>
          <w:ilvl w:val="0"/>
          <w:numId w:val="24"/>
        </w:numPr>
        <w:spacing w:line="264" w:lineRule="auto"/>
        <w:contextualSpacing w:val="0"/>
        <w:rPr>
          <w:szCs w:val="24"/>
        </w:rPr>
      </w:pPr>
      <w:r w:rsidRPr="0059218B">
        <w:rPr>
          <w:szCs w:val="24"/>
        </w:rPr>
        <w:t xml:space="preserve">this information with other people in the organisation in general. </w:t>
      </w:r>
    </w:p>
    <w:p w14:paraId="7BA37254" w14:textId="462F08A4" w:rsidR="00AA3ACF" w:rsidRPr="0059218B" w:rsidRDefault="00AA3ACF" w:rsidP="00AA3ACF">
      <w:r w:rsidRPr="41ED6CC6">
        <w:t>For example, if your organisation has more employees selecting “Prefer not to say” than “Yes” in a question about disability, this result could indicate low safety in sharing information and even low levels of inclusion for employees with disability.</w:t>
      </w:r>
    </w:p>
    <w:p w14:paraId="1BFFEC9D" w14:textId="229BC13C" w:rsidR="00EB5003" w:rsidRPr="0059218B" w:rsidRDefault="00EB5003" w:rsidP="00AA3ACF">
      <w:pPr>
        <w:pStyle w:val="Heading3"/>
      </w:pPr>
      <w:r w:rsidRPr="0059218B">
        <w:t xml:space="preserve">Analyse </w:t>
      </w:r>
      <w:r w:rsidR="0049368B" w:rsidRPr="0059218B">
        <w:t>y</w:t>
      </w:r>
      <w:r w:rsidR="00803656" w:rsidRPr="0059218B">
        <w:t xml:space="preserve">our </w:t>
      </w:r>
      <w:r w:rsidR="0049368B" w:rsidRPr="0059218B">
        <w:t>d</w:t>
      </w:r>
      <w:r w:rsidRPr="0059218B">
        <w:t xml:space="preserve">iversity </w:t>
      </w:r>
      <w:r w:rsidR="0049368B" w:rsidRPr="0059218B">
        <w:t>d</w:t>
      </w:r>
      <w:r w:rsidRPr="0059218B">
        <w:t>ata a</w:t>
      </w:r>
      <w:r w:rsidR="006027A4" w:rsidRPr="0059218B">
        <w:t xml:space="preserve">t </w:t>
      </w:r>
      <w:r w:rsidRPr="0059218B">
        <w:t xml:space="preserve">a </w:t>
      </w:r>
      <w:r w:rsidR="0049368B" w:rsidRPr="0059218B">
        <w:t>d</w:t>
      </w:r>
      <w:r w:rsidRPr="0059218B">
        <w:t xml:space="preserve">eeper </w:t>
      </w:r>
      <w:r w:rsidR="0049368B" w:rsidRPr="0059218B">
        <w:t>l</w:t>
      </w:r>
      <w:r w:rsidRPr="0059218B">
        <w:t xml:space="preserve">evel </w:t>
      </w:r>
    </w:p>
    <w:p w14:paraId="0ACA1A80" w14:textId="7DFA5E8C" w:rsidR="00C32FEE" w:rsidRPr="0059218B" w:rsidRDefault="00577C3C" w:rsidP="00C32FEE">
      <w:pPr>
        <w:rPr>
          <w:szCs w:val="24"/>
        </w:rPr>
      </w:pPr>
      <w:r w:rsidRPr="0059218B">
        <w:rPr>
          <w:b/>
          <w:bCs/>
          <w:szCs w:val="24"/>
        </w:rPr>
        <w:t xml:space="preserve">Why? </w:t>
      </w:r>
      <w:r w:rsidR="00C32FEE" w:rsidRPr="0059218B">
        <w:rPr>
          <w:szCs w:val="24"/>
        </w:rPr>
        <w:t xml:space="preserve">While </w:t>
      </w:r>
      <w:r w:rsidR="005E5A24" w:rsidRPr="0059218B">
        <w:rPr>
          <w:szCs w:val="24"/>
        </w:rPr>
        <w:t xml:space="preserve">overall workforce </w:t>
      </w:r>
      <w:r w:rsidR="003E4AF9" w:rsidRPr="0059218B">
        <w:rPr>
          <w:szCs w:val="24"/>
        </w:rPr>
        <w:t xml:space="preserve">diversity </w:t>
      </w:r>
      <w:r w:rsidR="00973371">
        <w:rPr>
          <w:szCs w:val="24"/>
        </w:rPr>
        <w:t>numbers</w:t>
      </w:r>
      <w:r w:rsidR="00973371" w:rsidRPr="0059218B">
        <w:rPr>
          <w:szCs w:val="24"/>
        </w:rPr>
        <w:t xml:space="preserve"> </w:t>
      </w:r>
      <w:r w:rsidR="00C32FEE" w:rsidRPr="0059218B">
        <w:rPr>
          <w:szCs w:val="24"/>
        </w:rPr>
        <w:t xml:space="preserve">are useful, they do not give the full picture of your workforce diversity. For </w:t>
      </w:r>
      <w:r w:rsidR="00F61C01" w:rsidRPr="0059218B">
        <w:rPr>
          <w:szCs w:val="24"/>
        </w:rPr>
        <w:t>example</w:t>
      </w:r>
      <w:r w:rsidR="00C32FEE" w:rsidRPr="0059218B">
        <w:rPr>
          <w:szCs w:val="24"/>
        </w:rPr>
        <w:t>:</w:t>
      </w:r>
    </w:p>
    <w:p w14:paraId="0667660A" w14:textId="559988EA" w:rsidR="00C32FEE" w:rsidRPr="0059218B" w:rsidRDefault="00CE0159" w:rsidP="00337E92">
      <w:pPr>
        <w:pStyle w:val="ListParagraph"/>
        <w:numPr>
          <w:ilvl w:val="0"/>
          <w:numId w:val="27"/>
        </w:numPr>
        <w:ind w:left="714" w:hanging="357"/>
        <w:contextualSpacing w:val="0"/>
      </w:pPr>
      <w:r>
        <w:t xml:space="preserve">If </w:t>
      </w:r>
      <w:r w:rsidR="00C32FEE" w:rsidRPr="0059218B">
        <w:t xml:space="preserve">62% of your workforce is multilingual, </w:t>
      </w:r>
      <w:r w:rsidR="003E4AF9" w:rsidRPr="0059218B">
        <w:t xml:space="preserve">which </w:t>
      </w:r>
      <w:r w:rsidR="00C32FEE" w:rsidRPr="0059218B">
        <w:t xml:space="preserve">languages </w:t>
      </w:r>
      <w:r>
        <w:t>do they speak</w:t>
      </w:r>
      <w:r w:rsidR="00C32FEE" w:rsidRPr="0059218B">
        <w:t>?</w:t>
      </w:r>
    </w:p>
    <w:p w14:paraId="7FC4BDCF" w14:textId="2958A392" w:rsidR="00C32FEE" w:rsidRPr="0059218B" w:rsidRDefault="150B919F" w:rsidP="150B919F">
      <w:pPr>
        <w:pStyle w:val="ListParagraph"/>
        <w:numPr>
          <w:ilvl w:val="0"/>
          <w:numId w:val="27"/>
        </w:numPr>
        <w:ind w:left="714" w:hanging="357"/>
      </w:pPr>
      <w:r w:rsidRPr="41ED6CC6">
        <w:t>If your employees report 45 different cultural backgrounds/ethnicities, are these mainly European or Asian or African or a combination?</w:t>
      </w:r>
    </w:p>
    <w:p w14:paraId="1EC0C9D9" w14:textId="0AF31DE5" w:rsidR="002B4CBF" w:rsidRPr="0059218B" w:rsidRDefault="150B919F" w:rsidP="002B4CBF">
      <w:r w:rsidRPr="41ED6CC6">
        <w:rPr>
          <w:b/>
          <w:bCs/>
        </w:rPr>
        <w:t xml:space="preserve">How? </w:t>
      </w:r>
      <w:r w:rsidRPr="41ED6CC6">
        <w:t xml:space="preserve">Identify which diversity questions are most meaningful to explore more deeply (using the list that follows). Then review the full results for each one. For example, in a question about languages, review all the languages listed by your employees to understand how many languages are spoken and what the most common are. </w:t>
      </w:r>
    </w:p>
    <w:p w14:paraId="0C5A30A6" w14:textId="3DF65421" w:rsidR="00C92A41" w:rsidRPr="0059218B" w:rsidRDefault="00405C90" w:rsidP="00337E92">
      <w:pPr>
        <w:pStyle w:val="ListParagraph"/>
        <w:numPr>
          <w:ilvl w:val="0"/>
          <w:numId w:val="45"/>
        </w:numPr>
        <w:ind w:left="714" w:hanging="357"/>
        <w:contextualSpacing w:val="0"/>
        <w:rPr>
          <w:szCs w:val="24"/>
        </w:rPr>
      </w:pPr>
      <w:r w:rsidRPr="0059218B">
        <w:rPr>
          <w:b/>
          <w:bCs/>
          <w:szCs w:val="24"/>
        </w:rPr>
        <w:t>Age</w:t>
      </w:r>
      <w:r w:rsidR="00343849" w:rsidRPr="0059218B">
        <w:rPr>
          <w:b/>
          <w:bCs/>
          <w:szCs w:val="24"/>
        </w:rPr>
        <w:t xml:space="preserve">. </w:t>
      </w:r>
      <w:r w:rsidR="00343849" w:rsidRPr="0059218B">
        <w:rPr>
          <w:szCs w:val="24"/>
        </w:rPr>
        <w:t>Y</w:t>
      </w:r>
      <w:r w:rsidR="00D20847" w:rsidRPr="0059218B">
        <w:rPr>
          <w:szCs w:val="24"/>
        </w:rPr>
        <w:t>ou might know the average age of your workforce</w:t>
      </w:r>
      <w:r w:rsidR="00F07242">
        <w:rPr>
          <w:szCs w:val="24"/>
        </w:rPr>
        <w:t>,</w:t>
      </w:r>
      <w:r w:rsidR="00D20847" w:rsidRPr="0059218B">
        <w:rPr>
          <w:szCs w:val="24"/>
        </w:rPr>
        <w:t xml:space="preserve"> but what </w:t>
      </w:r>
      <w:r w:rsidR="0018348F">
        <w:rPr>
          <w:szCs w:val="24"/>
        </w:rPr>
        <w:t>percentage</w:t>
      </w:r>
      <w:r w:rsidR="00432064" w:rsidRPr="0059218B">
        <w:rPr>
          <w:szCs w:val="24"/>
        </w:rPr>
        <w:t xml:space="preserve"> </w:t>
      </w:r>
      <w:r w:rsidR="00D20847" w:rsidRPr="0059218B">
        <w:rPr>
          <w:szCs w:val="24"/>
        </w:rPr>
        <w:t>is approaching retirement</w:t>
      </w:r>
      <w:r w:rsidR="00343849" w:rsidRPr="0059218B">
        <w:rPr>
          <w:szCs w:val="24"/>
        </w:rPr>
        <w:t xml:space="preserve"> (i.e. </w:t>
      </w:r>
      <w:r w:rsidR="00DB5E96" w:rsidRPr="0059218B">
        <w:rPr>
          <w:szCs w:val="24"/>
        </w:rPr>
        <w:t>60</w:t>
      </w:r>
      <w:r w:rsidR="00343849" w:rsidRPr="0059218B">
        <w:rPr>
          <w:szCs w:val="24"/>
        </w:rPr>
        <w:t xml:space="preserve"> years and over)</w:t>
      </w:r>
      <w:r w:rsidR="009A0750" w:rsidRPr="0059218B">
        <w:rPr>
          <w:szCs w:val="24"/>
        </w:rPr>
        <w:t xml:space="preserve">? </w:t>
      </w:r>
      <w:r w:rsidR="00F61270" w:rsidRPr="0059218B">
        <w:rPr>
          <w:szCs w:val="24"/>
        </w:rPr>
        <w:t>This can help with workforce planning</w:t>
      </w:r>
      <w:r w:rsidR="009A603C" w:rsidRPr="0059218B">
        <w:rPr>
          <w:szCs w:val="24"/>
        </w:rPr>
        <w:t>,</w:t>
      </w:r>
      <w:r w:rsidR="00F61270" w:rsidRPr="0059218B">
        <w:rPr>
          <w:szCs w:val="24"/>
        </w:rPr>
        <w:t xml:space="preserve"> including succession planning. </w:t>
      </w:r>
    </w:p>
    <w:p w14:paraId="258F11C2" w14:textId="29FC4EBF" w:rsidR="00D80A35" w:rsidRPr="0059218B" w:rsidRDefault="150B919F" w:rsidP="150B919F">
      <w:pPr>
        <w:pStyle w:val="ListParagraph"/>
        <w:numPr>
          <w:ilvl w:val="0"/>
          <w:numId w:val="45"/>
        </w:numPr>
        <w:ind w:left="714" w:hanging="357"/>
      </w:pPr>
      <w:r w:rsidRPr="41ED6CC6">
        <w:rPr>
          <w:b/>
          <w:bCs/>
        </w:rPr>
        <w:t xml:space="preserve">Caring. </w:t>
      </w:r>
      <w:r w:rsidRPr="41ED6CC6">
        <w:t xml:space="preserve">You might know the percentage of employees with caring responsibilities, but how many care for children and how many for adults? These carers might have quite different needs for flexible work arrangements. </w:t>
      </w:r>
    </w:p>
    <w:p w14:paraId="1281028F" w14:textId="0455B0F9" w:rsidR="006C019F" w:rsidRPr="0059218B" w:rsidRDefault="150B919F" w:rsidP="41ED6CC6">
      <w:pPr>
        <w:pStyle w:val="ListParagraph"/>
        <w:numPr>
          <w:ilvl w:val="0"/>
          <w:numId w:val="45"/>
        </w:numPr>
        <w:ind w:left="714" w:hanging="357"/>
      </w:pPr>
      <w:r w:rsidRPr="41ED6CC6">
        <w:rPr>
          <w:b/>
          <w:bCs/>
        </w:rPr>
        <w:t>Cultural background/ethnicity.</w:t>
      </w:r>
      <w:r w:rsidRPr="41ED6CC6">
        <w:t xml:space="preserve">  You might know the percentage of employees from a main English-speaking background only, but how many different ethnicities are represented in your workforce and what are the most common?  </w:t>
      </w:r>
    </w:p>
    <w:p w14:paraId="2C541AC5" w14:textId="45F2C396" w:rsidR="008F56F9" w:rsidRPr="0059218B" w:rsidRDefault="006C019F" w:rsidP="00337E92">
      <w:pPr>
        <w:pStyle w:val="ListParagraph"/>
        <w:numPr>
          <w:ilvl w:val="0"/>
          <w:numId w:val="45"/>
        </w:numPr>
        <w:ind w:left="714" w:hanging="357"/>
        <w:contextualSpacing w:val="0"/>
        <w:rPr>
          <w:szCs w:val="24"/>
        </w:rPr>
      </w:pPr>
      <w:r w:rsidRPr="0059218B">
        <w:rPr>
          <w:b/>
          <w:bCs/>
          <w:szCs w:val="24"/>
        </w:rPr>
        <w:t>Country of birth.</w:t>
      </w:r>
      <w:r w:rsidRPr="0059218B">
        <w:rPr>
          <w:szCs w:val="24"/>
        </w:rPr>
        <w:t xml:space="preserve"> You might know the </w:t>
      </w:r>
      <w:r w:rsidR="00F07242">
        <w:rPr>
          <w:szCs w:val="24"/>
        </w:rPr>
        <w:t>percentage</w:t>
      </w:r>
      <w:r w:rsidRPr="0059218B">
        <w:rPr>
          <w:szCs w:val="24"/>
        </w:rPr>
        <w:t xml:space="preserve"> of employees who </w:t>
      </w:r>
      <w:r w:rsidR="00F07242">
        <w:rPr>
          <w:szCs w:val="24"/>
        </w:rPr>
        <w:t>we</w:t>
      </w:r>
      <w:r w:rsidRPr="0059218B">
        <w:rPr>
          <w:szCs w:val="24"/>
        </w:rPr>
        <w:t>re born in Australia</w:t>
      </w:r>
      <w:r w:rsidR="00540371" w:rsidRPr="0059218B">
        <w:rPr>
          <w:szCs w:val="24"/>
        </w:rPr>
        <w:t xml:space="preserve">, but how many countries of birth are represented in your workforce and what are the most common? </w:t>
      </w:r>
    </w:p>
    <w:p w14:paraId="70201EFF" w14:textId="5AC8E4CE" w:rsidR="00D609C7" w:rsidRPr="0059218B" w:rsidRDefault="150B919F" w:rsidP="150B919F">
      <w:pPr>
        <w:pStyle w:val="ListParagraph"/>
        <w:numPr>
          <w:ilvl w:val="0"/>
          <w:numId w:val="45"/>
        </w:numPr>
        <w:ind w:left="714" w:hanging="357"/>
      </w:pPr>
      <w:r w:rsidRPr="41ED6CC6">
        <w:rPr>
          <w:b/>
          <w:bCs/>
        </w:rPr>
        <w:t>LGBTIQ+ status.</w:t>
      </w:r>
      <w:r w:rsidRPr="41ED6CC6">
        <w:t xml:space="preserve"> You might know the percentage of employees who are LGBTIQ+, but how many are trans employees or intersex employees? Inclusion requirements are often very different for trans employees, intersex employees and LGBQ+ employees.</w:t>
      </w:r>
    </w:p>
    <w:p w14:paraId="73A6D869" w14:textId="0C3B2DDA" w:rsidR="008F56F9" w:rsidRPr="0059218B" w:rsidRDefault="150B919F" w:rsidP="150B919F">
      <w:pPr>
        <w:pStyle w:val="ListParagraph"/>
        <w:numPr>
          <w:ilvl w:val="0"/>
          <w:numId w:val="45"/>
        </w:numPr>
        <w:ind w:left="714" w:hanging="357"/>
      </w:pPr>
      <w:r w:rsidRPr="41ED6CC6">
        <w:rPr>
          <w:b/>
          <w:bCs/>
        </w:rPr>
        <w:t>Religious affiliation</w:t>
      </w:r>
      <w:r w:rsidRPr="41ED6CC6">
        <w:t>. You might know the percentage of employees who have a non-Christian religious affiliation, but which religions are represented and which are the most common?</w:t>
      </w:r>
      <w:r w:rsidRPr="41ED6CC6">
        <w:rPr>
          <w:b/>
          <w:bCs/>
        </w:rPr>
        <w:t xml:space="preserve">  </w:t>
      </w:r>
      <w:r w:rsidRPr="41ED6CC6">
        <w:t>Different religions often have different inclusion and flexibility needs (e.g. prayer breaks, diet, bathroom facilities and uniforms).</w:t>
      </w:r>
    </w:p>
    <w:p w14:paraId="50744956" w14:textId="38F68FF1" w:rsidR="00556FBB" w:rsidRPr="0059218B" w:rsidRDefault="00556FBB" w:rsidP="00AA3ACF">
      <w:pPr>
        <w:pStyle w:val="Heading3"/>
      </w:pPr>
      <w:r w:rsidRPr="0059218B">
        <w:t xml:space="preserve">Analyse </w:t>
      </w:r>
      <w:r w:rsidR="002C794C" w:rsidRPr="0059218B">
        <w:t>y</w:t>
      </w:r>
      <w:r w:rsidRPr="0059218B">
        <w:t xml:space="preserve">our </w:t>
      </w:r>
      <w:r w:rsidR="002C794C" w:rsidRPr="0059218B">
        <w:t>d</w:t>
      </w:r>
      <w:r w:rsidRPr="0059218B">
        <w:t xml:space="preserve">iversity </w:t>
      </w:r>
      <w:r w:rsidR="002C794C" w:rsidRPr="0059218B">
        <w:t>d</w:t>
      </w:r>
      <w:r w:rsidRPr="0059218B">
        <w:t xml:space="preserve">ata </w:t>
      </w:r>
      <w:r w:rsidR="00121C09">
        <w:t>for</w:t>
      </w:r>
      <w:r w:rsidRPr="0059218B">
        <w:t xml:space="preserve"> </w:t>
      </w:r>
      <w:r w:rsidR="002C794C" w:rsidRPr="0059218B">
        <w:t>d</w:t>
      </w:r>
      <w:r w:rsidRPr="0059218B">
        <w:t xml:space="preserve">ifferent </w:t>
      </w:r>
      <w:r w:rsidR="002C794C" w:rsidRPr="0059218B">
        <w:t>o</w:t>
      </w:r>
      <w:r w:rsidRPr="0059218B">
        <w:t xml:space="preserve">rganisational </w:t>
      </w:r>
      <w:r w:rsidR="00512CDD" w:rsidRPr="0059218B">
        <w:t>l</w:t>
      </w:r>
      <w:r w:rsidRPr="0059218B">
        <w:t xml:space="preserve">evels and </w:t>
      </w:r>
      <w:r w:rsidR="00512CDD" w:rsidRPr="0059218B">
        <w:t>a</w:t>
      </w:r>
      <w:r w:rsidRPr="0059218B">
        <w:t xml:space="preserve">reas </w:t>
      </w:r>
    </w:p>
    <w:p w14:paraId="70D460FD" w14:textId="18430455" w:rsidR="00AD7F33" w:rsidRPr="0059218B" w:rsidRDefault="00AD7F33" w:rsidP="00AD7F33">
      <w:pPr>
        <w:rPr>
          <w:szCs w:val="24"/>
        </w:rPr>
      </w:pPr>
      <w:r w:rsidRPr="0059218B">
        <w:rPr>
          <w:b/>
          <w:bCs/>
          <w:szCs w:val="24"/>
        </w:rPr>
        <w:t xml:space="preserve">Why? </w:t>
      </w:r>
      <w:r w:rsidRPr="0059218B">
        <w:rPr>
          <w:szCs w:val="24"/>
        </w:rPr>
        <w:t xml:space="preserve">While overall workforce diversity percentages are useful, they do not give the full picture of your workforce diversity. </w:t>
      </w:r>
      <w:r w:rsidR="006901CA" w:rsidRPr="0059218B">
        <w:rPr>
          <w:szCs w:val="24"/>
        </w:rPr>
        <w:t xml:space="preserve">Often </w:t>
      </w:r>
      <w:r w:rsidR="00783647" w:rsidRPr="0059218B">
        <w:rPr>
          <w:szCs w:val="24"/>
        </w:rPr>
        <w:t xml:space="preserve">it </w:t>
      </w:r>
      <w:r w:rsidR="006901CA" w:rsidRPr="0059218B">
        <w:rPr>
          <w:szCs w:val="24"/>
        </w:rPr>
        <w:t>is useful to find out which employee cohorts are over</w:t>
      </w:r>
      <w:r w:rsidR="00121C09">
        <w:rPr>
          <w:szCs w:val="24"/>
        </w:rPr>
        <w:t>-represented</w:t>
      </w:r>
      <w:r w:rsidR="006901CA" w:rsidRPr="0059218B">
        <w:rPr>
          <w:szCs w:val="24"/>
        </w:rPr>
        <w:t xml:space="preserve"> and under-represented </w:t>
      </w:r>
      <w:r w:rsidR="00121C09">
        <w:rPr>
          <w:szCs w:val="24"/>
        </w:rPr>
        <w:t>at</w:t>
      </w:r>
      <w:r w:rsidR="00BD64AA" w:rsidRPr="0059218B">
        <w:rPr>
          <w:szCs w:val="24"/>
        </w:rPr>
        <w:t xml:space="preserve"> different organisational levels and </w:t>
      </w:r>
      <w:r w:rsidR="00121C09">
        <w:rPr>
          <w:szCs w:val="24"/>
        </w:rPr>
        <w:t xml:space="preserve">in different </w:t>
      </w:r>
      <w:r w:rsidR="00BD64AA" w:rsidRPr="0059218B">
        <w:rPr>
          <w:szCs w:val="24"/>
        </w:rPr>
        <w:t>areas.</w:t>
      </w:r>
    </w:p>
    <w:p w14:paraId="6A87EBB6" w14:textId="15725CD4" w:rsidR="00C011F9" w:rsidRPr="0059218B" w:rsidRDefault="150B919F" w:rsidP="150B919F">
      <w:pPr>
        <w:pStyle w:val="ListParagraph"/>
        <w:numPr>
          <w:ilvl w:val="0"/>
          <w:numId w:val="27"/>
        </w:numPr>
        <w:ind w:left="714" w:hanging="357"/>
      </w:pPr>
      <w:r w:rsidRPr="41ED6CC6">
        <w:rPr>
          <w:b/>
          <w:bCs/>
        </w:rPr>
        <w:t xml:space="preserve">Organisational levels. </w:t>
      </w:r>
      <w:r w:rsidRPr="41ED6CC6">
        <w:t>If 62% of all employees are women or non-binary people, what percentage of senior leaders are women or non-binary people? Often women and non-binary people are under-represented at senior leadership level, compared with their representation in the organisation (e.g. in this case, less than 62%).</w:t>
      </w:r>
    </w:p>
    <w:p w14:paraId="74C4C260" w14:textId="373F798F" w:rsidR="008626CA" w:rsidRPr="0059218B" w:rsidRDefault="00BD64AA" w:rsidP="00337E92">
      <w:pPr>
        <w:pStyle w:val="ListParagraph"/>
        <w:numPr>
          <w:ilvl w:val="0"/>
          <w:numId w:val="27"/>
        </w:numPr>
        <w:ind w:left="714" w:hanging="357"/>
        <w:contextualSpacing w:val="0"/>
      </w:pPr>
      <w:r w:rsidRPr="0059218B">
        <w:rPr>
          <w:b/>
          <w:bCs/>
        </w:rPr>
        <w:t xml:space="preserve">Organisational areas. </w:t>
      </w:r>
      <w:r w:rsidRPr="0059218B">
        <w:t xml:space="preserve">If 62% of all employees are women, what </w:t>
      </w:r>
      <w:r w:rsidR="00121C09">
        <w:t>percentage</w:t>
      </w:r>
      <w:r w:rsidRPr="0059218B">
        <w:t xml:space="preserve"> of employees in retail </w:t>
      </w:r>
      <w:r w:rsidR="00B978D5" w:rsidRPr="0059218B">
        <w:t xml:space="preserve">organisational areas are women? Often women are over-represented in </w:t>
      </w:r>
      <w:r w:rsidR="005A4072">
        <w:t>retail</w:t>
      </w:r>
      <w:r w:rsidR="00FE77B5" w:rsidRPr="0059218B">
        <w:t>, which tend</w:t>
      </w:r>
      <w:r w:rsidR="005A4072">
        <w:t>s</w:t>
      </w:r>
      <w:r w:rsidR="00FE77B5" w:rsidRPr="0059218B">
        <w:t xml:space="preserve"> to have lower paid and less secure roles</w:t>
      </w:r>
      <w:r w:rsidR="00B978D5" w:rsidRPr="0059218B">
        <w:t xml:space="preserve">. What </w:t>
      </w:r>
      <w:r w:rsidR="00F042D7">
        <w:t>percentage</w:t>
      </w:r>
      <w:r w:rsidR="00B978D5" w:rsidRPr="0059218B">
        <w:t xml:space="preserve"> of employees in </w:t>
      </w:r>
      <w:r w:rsidR="00FE77B5" w:rsidRPr="0059218B">
        <w:t>IT organisational areas are women? Often women are under-represented in IT</w:t>
      </w:r>
      <w:r w:rsidR="008626CA" w:rsidRPr="0059218B">
        <w:t>, which tend</w:t>
      </w:r>
      <w:r w:rsidR="005A4072">
        <w:t>s</w:t>
      </w:r>
      <w:r w:rsidR="008626CA" w:rsidRPr="0059218B">
        <w:t xml:space="preserve"> to have </w:t>
      </w:r>
      <w:r w:rsidR="00FE77B5" w:rsidRPr="0059218B">
        <w:t>higher paid</w:t>
      </w:r>
      <w:r w:rsidR="005A4072">
        <w:t>,</w:t>
      </w:r>
      <w:r w:rsidR="00FE77B5" w:rsidRPr="0059218B">
        <w:t xml:space="preserve"> </w:t>
      </w:r>
      <w:r w:rsidR="008626CA" w:rsidRPr="0059218B">
        <w:t xml:space="preserve">more secure roles. </w:t>
      </w:r>
    </w:p>
    <w:p w14:paraId="4B5B9D9E" w14:textId="4CE9870D" w:rsidR="00705AD1" w:rsidRPr="0059218B" w:rsidRDefault="150B919F" w:rsidP="00AD7F33">
      <w:r w:rsidRPr="41ED6CC6">
        <w:rPr>
          <w:b/>
          <w:bCs/>
        </w:rPr>
        <w:t xml:space="preserve">How? </w:t>
      </w:r>
      <w:r w:rsidRPr="41ED6CC6">
        <w:t>Identify which organisational levels and areas are most meaningful to explore more deeply. Then look at the representation of different employee cohorts compared with their representation in your organisation overall. For example, for gender:</w:t>
      </w:r>
    </w:p>
    <w:p w14:paraId="695B35DA" w14:textId="7D679682" w:rsidR="00006B32" w:rsidRPr="0059218B" w:rsidRDefault="150B919F" w:rsidP="150B919F">
      <w:pPr>
        <w:pStyle w:val="ListParagraph"/>
        <w:numPr>
          <w:ilvl w:val="0"/>
          <w:numId w:val="46"/>
        </w:numPr>
        <w:ind w:left="714" w:hanging="357"/>
      </w:pPr>
      <w:r w:rsidRPr="41ED6CC6">
        <w:rPr>
          <w:b/>
          <w:bCs/>
        </w:rPr>
        <w:t xml:space="preserve">Organisational levels. </w:t>
      </w:r>
      <w:r w:rsidRPr="41ED6CC6">
        <w:t xml:space="preserve">Compare the representation of men with that of women and non-binary employees at different levels of your organisation. At what level does the percentage of women and non-binary people drop off markedly? </w:t>
      </w:r>
    </w:p>
    <w:p w14:paraId="4D76F355" w14:textId="166BBE4D" w:rsidR="00AE58C0" w:rsidRPr="0059218B" w:rsidRDefault="150B919F" w:rsidP="150B919F">
      <w:pPr>
        <w:pStyle w:val="ListParagraph"/>
        <w:numPr>
          <w:ilvl w:val="0"/>
          <w:numId w:val="46"/>
        </w:numPr>
        <w:ind w:left="714" w:hanging="357"/>
      </w:pPr>
      <w:r w:rsidRPr="41ED6CC6">
        <w:rPr>
          <w:b/>
          <w:bCs/>
        </w:rPr>
        <w:t xml:space="preserve">Organisational areas. </w:t>
      </w:r>
      <w:r w:rsidRPr="41ED6CC6">
        <w:t>Compare the representation of men with that of women and non-binary employees in different areas of your organisation. Which areas have a good balance of men, women and non-binary employees? In which areas is the gender balance very skewed? Are the areas where women and non-binary employees are under-represented more likely to have well-paid, secure roles?</w:t>
      </w:r>
    </w:p>
    <w:p w14:paraId="7773E951" w14:textId="7E2A5E15" w:rsidR="00EB5003" w:rsidRPr="0059218B" w:rsidRDefault="00EB5003" w:rsidP="00AA3ACF">
      <w:pPr>
        <w:pStyle w:val="Heading3"/>
      </w:pPr>
      <w:r w:rsidRPr="0059218B">
        <w:t xml:space="preserve">Benchmark </w:t>
      </w:r>
      <w:r w:rsidR="002650E3" w:rsidRPr="0059218B">
        <w:t>y</w:t>
      </w:r>
      <w:r w:rsidRPr="0059218B">
        <w:t xml:space="preserve">our </w:t>
      </w:r>
      <w:r w:rsidR="002650E3" w:rsidRPr="0059218B">
        <w:t>d</w:t>
      </w:r>
      <w:r w:rsidRPr="0059218B">
        <w:t xml:space="preserve">iversity </w:t>
      </w:r>
      <w:r w:rsidR="002650E3" w:rsidRPr="0059218B">
        <w:t>d</w:t>
      </w:r>
      <w:r w:rsidRPr="0059218B">
        <w:t xml:space="preserve">ata </w:t>
      </w:r>
    </w:p>
    <w:p w14:paraId="5886DAB2" w14:textId="1E6F0D9E" w:rsidR="00577C3C" w:rsidRPr="0059218B" w:rsidRDefault="150B919F" w:rsidP="00577C3C">
      <w:r w:rsidRPr="41ED6CC6">
        <w:rPr>
          <w:b/>
          <w:bCs/>
        </w:rPr>
        <w:t xml:space="preserve">Why? </w:t>
      </w:r>
      <w:r w:rsidRPr="41ED6CC6">
        <w:t xml:space="preserve">Comparing your diversity results against benchmarks (i.e. national, industry or leading practice averages) can help you understand how your organisation is performing relative to other organisations. For example, you could benchmark your workforce diversity overall by comparing it with the diversity of: </w:t>
      </w:r>
    </w:p>
    <w:p w14:paraId="4835246F" w14:textId="144E05B2" w:rsidR="004E5EB4" w:rsidRPr="0059218B" w:rsidRDefault="004E5EB4" w:rsidP="00337E92">
      <w:pPr>
        <w:pStyle w:val="ListParagraph"/>
        <w:numPr>
          <w:ilvl w:val="0"/>
          <w:numId w:val="16"/>
        </w:numPr>
        <w:ind w:left="714" w:hanging="357"/>
        <w:contextualSpacing w:val="0"/>
      </w:pPr>
      <w:r w:rsidRPr="0059218B">
        <w:t xml:space="preserve">your industry </w:t>
      </w:r>
    </w:p>
    <w:p w14:paraId="3D1299A4" w14:textId="3AE591F6" w:rsidR="00747F6C" w:rsidRPr="0059218B" w:rsidRDefault="00577C3C" w:rsidP="00337E92">
      <w:pPr>
        <w:pStyle w:val="ListParagraph"/>
        <w:numPr>
          <w:ilvl w:val="0"/>
          <w:numId w:val="16"/>
        </w:numPr>
        <w:ind w:left="714" w:hanging="357"/>
        <w:contextualSpacing w:val="0"/>
      </w:pPr>
      <w:r w:rsidRPr="0059218B">
        <w:t xml:space="preserve">the Australian workforce </w:t>
      </w:r>
    </w:p>
    <w:p w14:paraId="4880B25C" w14:textId="366888BE" w:rsidR="00577C3C" w:rsidRPr="0059218B" w:rsidRDefault="00EF0D32" w:rsidP="00337E92">
      <w:pPr>
        <w:pStyle w:val="ListParagraph"/>
        <w:numPr>
          <w:ilvl w:val="0"/>
          <w:numId w:val="16"/>
        </w:numPr>
        <w:ind w:left="714" w:hanging="357"/>
        <w:contextualSpacing w:val="0"/>
      </w:pPr>
      <w:r w:rsidRPr="0059218B">
        <w:t>the Australian</w:t>
      </w:r>
      <w:r w:rsidR="00973371">
        <w:t xml:space="preserve"> population</w:t>
      </w:r>
      <w:r w:rsidR="00A024C9">
        <w:t>.</w:t>
      </w:r>
      <w:r w:rsidRPr="0059218B">
        <w:t xml:space="preserve"> </w:t>
      </w:r>
    </w:p>
    <w:p w14:paraId="141292EF" w14:textId="18E068F5" w:rsidR="00422DD0" w:rsidRPr="0059218B" w:rsidRDefault="150B919F" w:rsidP="004E5EB4">
      <w:r w:rsidRPr="41ED6CC6">
        <w:rPr>
          <w:b/>
          <w:bCs/>
        </w:rPr>
        <w:t xml:space="preserve">How?  </w:t>
      </w:r>
      <w:r w:rsidRPr="41ED6CC6">
        <w:t xml:space="preserve">Identify which benchmarks are most meaningful to use – leading practice, industry, Australian workforce, or Australian population. </w:t>
      </w:r>
    </w:p>
    <w:p w14:paraId="1A98B5D2" w14:textId="6355D478" w:rsidR="008645B6" w:rsidRPr="0059218B" w:rsidRDefault="150B919F" w:rsidP="41ED6CC6">
      <w:pPr>
        <w:pStyle w:val="ListParagraph"/>
        <w:numPr>
          <w:ilvl w:val="0"/>
          <w:numId w:val="46"/>
        </w:numPr>
        <w:ind w:left="714" w:hanging="357"/>
      </w:pPr>
      <w:r w:rsidRPr="41ED6CC6">
        <w:rPr>
          <w:b/>
          <w:bCs/>
        </w:rPr>
        <w:t xml:space="preserve">Leading practice benchmark. </w:t>
      </w:r>
      <w:r w:rsidRPr="41ED6CC6">
        <w:t xml:space="preserve">Use this benchmark if you want to set aspirational targets or understand how your organisation is performing compared with leading employers. </w:t>
      </w:r>
    </w:p>
    <w:p w14:paraId="5F1BF37E" w14:textId="66EFFFB6" w:rsidR="005A45F1" w:rsidRPr="0059218B" w:rsidRDefault="008645B6" w:rsidP="00CB2E4E">
      <w:pPr>
        <w:pStyle w:val="ListParagraph"/>
        <w:numPr>
          <w:ilvl w:val="0"/>
          <w:numId w:val="46"/>
        </w:numPr>
        <w:ind w:left="714" w:hanging="357"/>
        <w:contextualSpacing w:val="0"/>
        <w:rPr>
          <w:szCs w:val="24"/>
        </w:rPr>
      </w:pPr>
      <w:r w:rsidRPr="0059218B">
        <w:rPr>
          <w:b/>
          <w:bCs/>
          <w:szCs w:val="24"/>
        </w:rPr>
        <w:t>Industry benchmark</w:t>
      </w:r>
      <w:r w:rsidRPr="0059218B">
        <w:rPr>
          <w:szCs w:val="24"/>
        </w:rPr>
        <w:t xml:space="preserve">. Use this benchmark if you want to </w:t>
      </w:r>
      <w:r w:rsidR="008C0697" w:rsidRPr="0059218B">
        <w:rPr>
          <w:szCs w:val="24"/>
        </w:rPr>
        <w:t xml:space="preserve">ensure your workforce and leadership team reflect the ‘average’ industry workforce. This will help you </w:t>
      </w:r>
      <w:r w:rsidRPr="0059218B">
        <w:rPr>
          <w:szCs w:val="24"/>
        </w:rPr>
        <w:t>set realistic targets</w:t>
      </w:r>
      <w:r w:rsidR="007672B9">
        <w:rPr>
          <w:szCs w:val="24"/>
        </w:rPr>
        <w:t>. For example,</w:t>
      </w:r>
      <w:r w:rsidRPr="0059218B">
        <w:rPr>
          <w:szCs w:val="24"/>
        </w:rPr>
        <w:t xml:space="preserve"> </w:t>
      </w:r>
      <w:r w:rsidR="00E42B2E" w:rsidRPr="0059218B">
        <w:rPr>
          <w:szCs w:val="24"/>
        </w:rPr>
        <w:t xml:space="preserve">if 16% of graduate engineers are women, you should be aiming for at least 16% of your graduate intake to be women. You can also use it </w:t>
      </w:r>
      <w:r w:rsidR="005A45F1" w:rsidRPr="0059218B">
        <w:rPr>
          <w:szCs w:val="24"/>
        </w:rPr>
        <w:t xml:space="preserve">to </w:t>
      </w:r>
      <w:r w:rsidR="00E42B2E" w:rsidRPr="0059218B">
        <w:rPr>
          <w:szCs w:val="24"/>
        </w:rPr>
        <w:t xml:space="preserve">understand how your organisation is performing compared </w:t>
      </w:r>
      <w:r w:rsidR="007672B9">
        <w:rPr>
          <w:szCs w:val="24"/>
        </w:rPr>
        <w:t>with</w:t>
      </w:r>
      <w:r w:rsidR="00E42B2E" w:rsidRPr="0059218B">
        <w:rPr>
          <w:szCs w:val="24"/>
        </w:rPr>
        <w:t xml:space="preserve"> the industry average. </w:t>
      </w:r>
    </w:p>
    <w:p w14:paraId="6CC22637" w14:textId="54C5098B" w:rsidR="00CE7648" w:rsidRPr="0059218B" w:rsidRDefault="0040371F" w:rsidP="00337E92">
      <w:pPr>
        <w:pStyle w:val="ListParagraph"/>
        <w:numPr>
          <w:ilvl w:val="0"/>
          <w:numId w:val="46"/>
        </w:numPr>
        <w:ind w:left="714" w:hanging="357"/>
        <w:contextualSpacing w:val="0"/>
        <w:rPr>
          <w:szCs w:val="24"/>
        </w:rPr>
      </w:pPr>
      <w:r w:rsidRPr="0059218B">
        <w:rPr>
          <w:b/>
          <w:bCs/>
          <w:szCs w:val="24"/>
        </w:rPr>
        <w:t>Australian workforce</w:t>
      </w:r>
      <w:r w:rsidR="007E4E72" w:rsidRPr="0059218B">
        <w:rPr>
          <w:szCs w:val="24"/>
        </w:rPr>
        <w:t xml:space="preserve">. Use this benchmark if you want to </w:t>
      </w:r>
      <w:r w:rsidR="000C2BE9" w:rsidRPr="0059218B">
        <w:rPr>
          <w:szCs w:val="24"/>
        </w:rPr>
        <w:t xml:space="preserve">ensure your </w:t>
      </w:r>
      <w:r w:rsidR="00CB1F16" w:rsidRPr="0059218B">
        <w:rPr>
          <w:szCs w:val="24"/>
        </w:rPr>
        <w:t>workforce and leadership team reflect the ‘average’ Australian workforce</w:t>
      </w:r>
      <w:r w:rsidR="00CE7648" w:rsidRPr="0059218B">
        <w:rPr>
          <w:szCs w:val="24"/>
        </w:rPr>
        <w:t>. For example,</w:t>
      </w:r>
      <w:r w:rsidR="007E4E72" w:rsidRPr="0059218B">
        <w:rPr>
          <w:szCs w:val="24"/>
        </w:rPr>
        <w:t xml:space="preserve"> </w:t>
      </w:r>
      <w:r w:rsidR="00CE7648" w:rsidRPr="0059218B">
        <w:rPr>
          <w:szCs w:val="24"/>
        </w:rPr>
        <w:t>33% of Australian workers are born overseas and 16% are born in Asian countries – how does this compare to your workforce?</w:t>
      </w:r>
    </w:p>
    <w:p w14:paraId="05FEFAB3" w14:textId="3DEA27C4" w:rsidR="007E4E72" w:rsidRPr="0059218B" w:rsidRDefault="150B919F" w:rsidP="150B919F">
      <w:pPr>
        <w:pStyle w:val="ListParagraph"/>
        <w:numPr>
          <w:ilvl w:val="0"/>
          <w:numId w:val="46"/>
        </w:numPr>
        <w:ind w:left="714" w:hanging="357"/>
      </w:pPr>
      <w:r w:rsidRPr="41ED6CC6">
        <w:rPr>
          <w:b/>
          <w:bCs/>
        </w:rPr>
        <w:t>Australian general population/community</w:t>
      </w:r>
      <w:r w:rsidRPr="41ED6CC6">
        <w:t>. Use this benchmark if you want to ensure your workforce and leadership team reflect the community your organisation operates in or serves. For example, if 4.5% of Australians are LGBTI+ people,</w:t>
      </w:r>
      <w:r w:rsidR="00772163" w:rsidRPr="41ED6CC6">
        <w:rPr>
          <w:rStyle w:val="EndnoteReference"/>
        </w:rPr>
        <w:endnoteReference w:id="11"/>
      </w:r>
      <w:r w:rsidRPr="41ED6CC6">
        <w:t xml:space="preserve"> you should be aiming for at least 4.5% of your workforce to be LGBTI+ people. If you operate mainly within one community, state or territory (e.g. Western Sydney or the Northern Territory), you could use that population as your benchmark. </w:t>
      </w:r>
    </w:p>
    <w:p w14:paraId="5B8B34CC" w14:textId="72408B76" w:rsidR="00422DD0" w:rsidRPr="0059218B" w:rsidRDefault="008233FD" w:rsidP="00422DD0">
      <w:pPr>
        <w:rPr>
          <w:szCs w:val="24"/>
        </w:rPr>
      </w:pPr>
      <w:r w:rsidRPr="0059218B">
        <w:rPr>
          <w:b/>
          <w:bCs/>
          <w:szCs w:val="24"/>
        </w:rPr>
        <w:t xml:space="preserve">Do you want to compare your workforce diversity to Australia’s workforce diversity? </w:t>
      </w:r>
      <w:r w:rsidRPr="0059218B">
        <w:rPr>
          <w:szCs w:val="24"/>
        </w:rPr>
        <w:t xml:space="preserve">If so, compare </w:t>
      </w:r>
      <w:r w:rsidR="00422DD0" w:rsidRPr="0059218B">
        <w:rPr>
          <w:szCs w:val="24"/>
        </w:rPr>
        <w:t xml:space="preserve">your </w:t>
      </w:r>
      <w:r w:rsidR="00CE7648" w:rsidRPr="0059218B">
        <w:rPr>
          <w:szCs w:val="24"/>
        </w:rPr>
        <w:t xml:space="preserve">overall </w:t>
      </w:r>
      <w:r w:rsidRPr="0059218B">
        <w:rPr>
          <w:szCs w:val="24"/>
        </w:rPr>
        <w:t xml:space="preserve">workforce </w:t>
      </w:r>
      <w:r w:rsidR="00422DD0" w:rsidRPr="0059218B">
        <w:rPr>
          <w:szCs w:val="24"/>
        </w:rPr>
        <w:t xml:space="preserve">diversity </w:t>
      </w:r>
      <w:r w:rsidRPr="0059218B">
        <w:rPr>
          <w:szCs w:val="24"/>
        </w:rPr>
        <w:t xml:space="preserve">percentages against </w:t>
      </w:r>
      <w:r w:rsidR="00422DD0" w:rsidRPr="0059218B">
        <w:rPr>
          <w:szCs w:val="24"/>
        </w:rPr>
        <w:t>th</w:t>
      </w:r>
      <w:r w:rsidRPr="0059218B">
        <w:rPr>
          <w:szCs w:val="24"/>
        </w:rPr>
        <w:t>e percen</w:t>
      </w:r>
      <w:r w:rsidR="00CD75CA" w:rsidRPr="0059218B">
        <w:rPr>
          <w:szCs w:val="24"/>
        </w:rPr>
        <w:t>t</w:t>
      </w:r>
      <w:r w:rsidRPr="0059218B">
        <w:rPr>
          <w:szCs w:val="24"/>
        </w:rPr>
        <w:t xml:space="preserve">ages in </w:t>
      </w:r>
      <w:r w:rsidR="00422DD0" w:rsidRPr="0059218B">
        <w:rPr>
          <w:szCs w:val="24"/>
        </w:rPr>
        <w:t xml:space="preserve">the table in </w:t>
      </w:r>
      <w:r w:rsidR="00422DD0" w:rsidRPr="0085640E">
        <w:rPr>
          <w:szCs w:val="24"/>
        </w:rPr>
        <w:t xml:space="preserve">Appendix </w:t>
      </w:r>
      <w:r w:rsidRPr="0085640E">
        <w:rPr>
          <w:szCs w:val="24"/>
        </w:rPr>
        <w:t>B</w:t>
      </w:r>
      <w:r w:rsidR="00422DD0" w:rsidRPr="0059218B">
        <w:rPr>
          <w:szCs w:val="24"/>
        </w:rPr>
        <w:t xml:space="preserve">. For example, </w:t>
      </w:r>
      <w:r w:rsidR="00BD189C" w:rsidRPr="0059218B">
        <w:rPr>
          <w:szCs w:val="24"/>
        </w:rPr>
        <w:t xml:space="preserve">compare the </w:t>
      </w:r>
      <w:r w:rsidR="007672B9">
        <w:rPr>
          <w:szCs w:val="24"/>
        </w:rPr>
        <w:t>percentage</w:t>
      </w:r>
      <w:r w:rsidR="00BD189C" w:rsidRPr="0059218B">
        <w:rPr>
          <w:szCs w:val="24"/>
        </w:rPr>
        <w:t xml:space="preserve"> of </w:t>
      </w:r>
      <w:r w:rsidR="00422DD0" w:rsidRPr="0059218B">
        <w:rPr>
          <w:szCs w:val="24"/>
        </w:rPr>
        <w:t xml:space="preserve">Aboriginal and/or Torres Strait Islander </w:t>
      </w:r>
      <w:r w:rsidR="00BD189C" w:rsidRPr="0059218B">
        <w:rPr>
          <w:szCs w:val="24"/>
        </w:rPr>
        <w:t xml:space="preserve">employees in your workforce against </w:t>
      </w:r>
      <w:r w:rsidR="00422DD0" w:rsidRPr="0059218B">
        <w:rPr>
          <w:szCs w:val="24"/>
        </w:rPr>
        <w:t xml:space="preserve">the </w:t>
      </w:r>
      <w:r w:rsidR="007672B9">
        <w:rPr>
          <w:szCs w:val="24"/>
        </w:rPr>
        <w:t>related</w:t>
      </w:r>
      <w:r w:rsidR="00422DD0" w:rsidRPr="0059218B">
        <w:rPr>
          <w:szCs w:val="24"/>
        </w:rPr>
        <w:t xml:space="preserve"> </w:t>
      </w:r>
      <w:r w:rsidR="007672B9">
        <w:rPr>
          <w:szCs w:val="24"/>
        </w:rPr>
        <w:t>b</w:t>
      </w:r>
      <w:r w:rsidR="00422DD0" w:rsidRPr="0059218B">
        <w:rPr>
          <w:szCs w:val="24"/>
        </w:rPr>
        <w:t>enchmark in th</w:t>
      </w:r>
      <w:r w:rsidR="007672B9">
        <w:rPr>
          <w:szCs w:val="24"/>
        </w:rPr>
        <w:t>e a</w:t>
      </w:r>
      <w:r w:rsidR="00422DD0" w:rsidRPr="0059218B">
        <w:rPr>
          <w:szCs w:val="24"/>
        </w:rPr>
        <w:t xml:space="preserve">ppendix. </w:t>
      </w:r>
    </w:p>
    <w:p w14:paraId="68313C1C" w14:textId="77777777" w:rsidR="0085640E" w:rsidRDefault="0085640E">
      <w:pPr>
        <w:rPr>
          <w:rFonts w:eastAsiaTheme="majorEastAsia" w:cstheme="majorBidi"/>
          <w:color w:val="0F4761" w:themeColor="accent1" w:themeShade="BF"/>
          <w:sz w:val="28"/>
          <w:szCs w:val="28"/>
        </w:rPr>
      </w:pPr>
      <w:r>
        <w:br w:type="page"/>
      </w:r>
    </w:p>
    <w:p w14:paraId="0978D890" w14:textId="07C33E14" w:rsidR="00B86F6A" w:rsidRPr="0059218B" w:rsidRDefault="00EB5003" w:rsidP="00AA3ACF">
      <w:pPr>
        <w:pStyle w:val="Heading3"/>
      </w:pPr>
      <w:r w:rsidRPr="0059218B">
        <w:t xml:space="preserve">Analyse </w:t>
      </w:r>
      <w:r w:rsidR="007672B9">
        <w:t>and</w:t>
      </w:r>
      <w:r w:rsidR="00C0009C" w:rsidRPr="0059218B">
        <w:t xml:space="preserve"> </w:t>
      </w:r>
      <w:r w:rsidR="002650E3" w:rsidRPr="0059218B">
        <w:t>b</w:t>
      </w:r>
      <w:r w:rsidR="00C0009C" w:rsidRPr="0059218B">
        <w:t xml:space="preserve">enchmark </w:t>
      </w:r>
      <w:r w:rsidR="002650E3" w:rsidRPr="0059218B">
        <w:t>y</w:t>
      </w:r>
      <w:r w:rsidRPr="0059218B">
        <w:t xml:space="preserve">our </w:t>
      </w:r>
      <w:r w:rsidR="002650E3" w:rsidRPr="0059218B">
        <w:t>i</w:t>
      </w:r>
      <w:r w:rsidRPr="0059218B">
        <w:t xml:space="preserve">nclusion </w:t>
      </w:r>
      <w:r w:rsidR="002650E3" w:rsidRPr="0059218B">
        <w:t>d</w:t>
      </w:r>
      <w:r w:rsidRPr="0059218B">
        <w:t xml:space="preserve">ata </w:t>
      </w:r>
      <w:r w:rsidR="007672B9">
        <w:t>overall</w:t>
      </w:r>
    </w:p>
    <w:p w14:paraId="321B5AA7" w14:textId="1A594A4F" w:rsidR="00D1724B" w:rsidRPr="0059218B" w:rsidRDefault="150B919F" w:rsidP="00D1724B">
      <w:r w:rsidRPr="41ED6CC6">
        <w:rPr>
          <w:b/>
          <w:bCs/>
        </w:rPr>
        <w:t xml:space="preserve">Why? </w:t>
      </w:r>
      <w:r w:rsidRPr="41ED6CC6">
        <w:t xml:space="preserve">Diversity data can tell you how well you are </w:t>
      </w:r>
      <w:r w:rsidRPr="41ED6CC6">
        <w:rPr>
          <w:b/>
          <w:bCs/>
        </w:rPr>
        <w:t>recruiting</w:t>
      </w:r>
      <w:r w:rsidRPr="41ED6CC6">
        <w:t xml:space="preserve"> a diversity of talent. But your inclusion data can tell you how well you are </w:t>
      </w:r>
      <w:r w:rsidRPr="41ED6CC6">
        <w:rPr>
          <w:b/>
          <w:bCs/>
        </w:rPr>
        <w:t>including and</w:t>
      </w:r>
      <w:r w:rsidRPr="41ED6CC6">
        <w:t xml:space="preserve"> </w:t>
      </w:r>
      <w:r w:rsidRPr="41ED6CC6">
        <w:rPr>
          <w:b/>
          <w:bCs/>
        </w:rPr>
        <w:t>retaining</w:t>
      </w:r>
      <w:r w:rsidRPr="41ED6CC6">
        <w:t xml:space="preserve"> that talent – in particular, where the pain points are in your employee lifecycle (through development, promotion, remuneration and resignation/turnover). This helps you identify strengths and opportunities for building inclusion and addressing exclusion in your workplace. </w:t>
      </w:r>
    </w:p>
    <w:p w14:paraId="5A264696" w14:textId="77777777" w:rsidR="00A362A6" w:rsidRPr="0059218B" w:rsidRDefault="001C0481" w:rsidP="00D1724B">
      <w:pPr>
        <w:rPr>
          <w:szCs w:val="24"/>
        </w:rPr>
      </w:pPr>
      <w:r w:rsidRPr="0059218B">
        <w:rPr>
          <w:b/>
          <w:bCs/>
          <w:szCs w:val="24"/>
        </w:rPr>
        <w:t xml:space="preserve">How? </w:t>
      </w:r>
      <w:r w:rsidR="00FB529A" w:rsidRPr="0059218B">
        <w:rPr>
          <w:szCs w:val="24"/>
        </w:rPr>
        <w:t xml:space="preserve">Start by analysing </w:t>
      </w:r>
      <w:r w:rsidR="002C0DAA" w:rsidRPr="0059218B">
        <w:rPr>
          <w:szCs w:val="24"/>
        </w:rPr>
        <w:t xml:space="preserve">the inclusion experiences of your workforce overall. Which </w:t>
      </w:r>
      <w:r w:rsidR="00D1724B" w:rsidRPr="0059218B">
        <w:rPr>
          <w:szCs w:val="24"/>
        </w:rPr>
        <w:t>questions were answered less positively or more negatively than other</w:t>
      </w:r>
      <w:r w:rsidR="002C0DAA" w:rsidRPr="0059218B">
        <w:rPr>
          <w:szCs w:val="24"/>
        </w:rPr>
        <w:t xml:space="preserve">s? </w:t>
      </w:r>
    </w:p>
    <w:p w14:paraId="49CD9282" w14:textId="1B729C74" w:rsidR="00DC7673" w:rsidRPr="0059218B" w:rsidRDefault="150B919F" w:rsidP="00D1724B">
      <w:r w:rsidRPr="41ED6CC6">
        <w:t>Consider if some types of questions when grouped together indicate an area you should focus on. For example:</w:t>
      </w:r>
    </w:p>
    <w:p w14:paraId="094C2C88" w14:textId="387DE446" w:rsidR="00EA0C32" w:rsidRPr="0059218B" w:rsidRDefault="150B919F" w:rsidP="150B919F">
      <w:pPr>
        <w:pStyle w:val="ListParagraph"/>
        <w:numPr>
          <w:ilvl w:val="0"/>
          <w:numId w:val="47"/>
        </w:numPr>
        <w:ind w:left="714" w:hanging="357"/>
      </w:pPr>
      <w:r w:rsidRPr="41ED6CC6">
        <w:t xml:space="preserve">Employees might answer </w:t>
      </w:r>
      <w:r w:rsidRPr="41ED6CC6">
        <w:rPr>
          <w:b/>
          <w:bCs/>
        </w:rPr>
        <w:t>inclusive leadership</w:t>
      </w:r>
      <w:r w:rsidRPr="41ED6CC6">
        <w:t xml:space="preserve"> questions more negatively than other questions, indicating a need to build the inclusive leadership capabilities of your managers.</w:t>
      </w:r>
    </w:p>
    <w:p w14:paraId="3F1096F1" w14:textId="0BAC3FFE" w:rsidR="00A362A6" w:rsidRPr="0059218B" w:rsidRDefault="150B919F" w:rsidP="150B919F">
      <w:pPr>
        <w:pStyle w:val="ListParagraph"/>
        <w:numPr>
          <w:ilvl w:val="0"/>
          <w:numId w:val="47"/>
        </w:numPr>
        <w:ind w:left="714" w:hanging="357"/>
      </w:pPr>
      <w:r w:rsidRPr="41ED6CC6">
        <w:t xml:space="preserve">Employees might report having low </w:t>
      </w:r>
      <w:r w:rsidRPr="41ED6CC6">
        <w:rPr>
          <w:b/>
          <w:bCs/>
        </w:rPr>
        <w:t>support for D&amp;I</w:t>
      </w:r>
      <w:r w:rsidRPr="41ED6CC6">
        <w:t>, indicating a need to be clearer and more compelling in your communications around the case for D&amp;I change.</w:t>
      </w:r>
    </w:p>
    <w:p w14:paraId="430BF98F" w14:textId="3947C8C8" w:rsidR="00D1724B" w:rsidRPr="0059218B" w:rsidRDefault="009654D6" w:rsidP="00D1724B">
      <w:pPr>
        <w:pStyle w:val="Default"/>
        <w:rPr>
          <w:rFonts w:ascii="Aptos" w:hAnsi="Aptos"/>
        </w:rPr>
      </w:pPr>
      <w:r>
        <w:rPr>
          <w:rFonts w:ascii="Aptos" w:hAnsi="Aptos"/>
        </w:rPr>
        <w:t>E</w:t>
      </w:r>
      <w:r w:rsidR="00D1724B" w:rsidRPr="0059218B">
        <w:rPr>
          <w:rFonts w:ascii="Aptos" w:hAnsi="Aptos"/>
        </w:rPr>
        <w:t xml:space="preserve">xplore </w:t>
      </w:r>
      <w:r>
        <w:rPr>
          <w:rFonts w:ascii="Aptos" w:hAnsi="Aptos"/>
        </w:rPr>
        <w:t>some of these factors</w:t>
      </w:r>
      <w:r w:rsidR="00D1724B" w:rsidRPr="0059218B">
        <w:rPr>
          <w:rFonts w:ascii="Aptos" w:hAnsi="Aptos"/>
        </w:rPr>
        <w:t xml:space="preserve">: </w:t>
      </w:r>
    </w:p>
    <w:p w14:paraId="7F66046D" w14:textId="376E7B71" w:rsidR="00D1724B" w:rsidRPr="0059218B" w:rsidRDefault="007C19F4" w:rsidP="00337E92">
      <w:pPr>
        <w:pStyle w:val="ListParagraph"/>
        <w:numPr>
          <w:ilvl w:val="0"/>
          <w:numId w:val="17"/>
        </w:numPr>
        <w:ind w:left="714" w:hanging="357"/>
        <w:contextualSpacing w:val="0"/>
      </w:pPr>
      <w:r w:rsidRPr="0059218B">
        <w:rPr>
          <w:b/>
          <w:bCs/>
        </w:rPr>
        <w:t xml:space="preserve">Priority D&amp;I areas. </w:t>
      </w:r>
      <w:r w:rsidRPr="0059218B">
        <w:t>W</w:t>
      </w:r>
      <w:r w:rsidR="00D1724B" w:rsidRPr="0059218B">
        <w:t>hat areas have you been doing a lot of work in</w:t>
      </w:r>
      <w:r w:rsidR="009654D6">
        <w:t>,</w:t>
      </w:r>
      <w:r w:rsidR="00D1724B" w:rsidRPr="0059218B">
        <w:t xml:space="preserve"> and </w:t>
      </w:r>
      <w:r w:rsidR="00024841">
        <w:t xml:space="preserve">is this work </w:t>
      </w:r>
      <w:r w:rsidR="00D1724B" w:rsidRPr="0059218B">
        <w:t xml:space="preserve">showing in your results? </w:t>
      </w:r>
      <w:r w:rsidR="009654D6">
        <w:t>For example,</w:t>
      </w:r>
      <w:r w:rsidR="00D1724B" w:rsidRPr="0059218B">
        <w:t xml:space="preserve"> if you have been doing work on employee engagement with D&amp;I, have these results changed over time? </w:t>
      </w:r>
    </w:p>
    <w:p w14:paraId="19168B5D" w14:textId="02E678E8" w:rsidR="00C0009C" w:rsidRPr="0059218B" w:rsidRDefault="00C0009C" w:rsidP="00337E92">
      <w:pPr>
        <w:pStyle w:val="ListParagraph"/>
        <w:numPr>
          <w:ilvl w:val="0"/>
          <w:numId w:val="17"/>
        </w:numPr>
        <w:ind w:left="714" w:hanging="357"/>
        <w:contextualSpacing w:val="0"/>
      </w:pPr>
      <w:r w:rsidRPr="0059218B">
        <w:rPr>
          <w:b/>
          <w:bCs/>
        </w:rPr>
        <w:t xml:space="preserve">Trends over time. </w:t>
      </w:r>
      <w:r w:rsidRPr="0059218B">
        <w:t>Wh</w:t>
      </w:r>
      <w:r w:rsidR="009654D6">
        <w:t>at trends can you see in your employee experiences with inclusion when</w:t>
      </w:r>
      <w:r w:rsidRPr="0059218B">
        <w:t xml:space="preserve"> </w:t>
      </w:r>
      <w:r w:rsidR="009654D6">
        <w:t xml:space="preserve">you </w:t>
      </w:r>
      <w:r w:rsidRPr="0059218B">
        <w:t>compare</w:t>
      </w:r>
      <w:r w:rsidR="009654D6">
        <w:t xml:space="preserve"> current and</w:t>
      </w:r>
      <w:r w:rsidRPr="0059218B">
        <w:t xml:space="preserve"> past inclusion data</w:t>
      </w:r>
      <w:r w:rsidR="009654D6">
        <w:t>?</w:t>
      </w:r>
      <w:r w:rsidRPr="0059218B">
        <w:t xml:space="preserve"> </w:t>
      </w:r>
      <w:r w:rsidR="009654D6">
        <w:t>A</w:t>
      </w:r>
      <w:r w:rsidRPr="0059218B">
        <w:t>re experiences with inclusion increasing, decreasing or being static?</w:t>
      </w:r>
    </w:p>
    <w:p w14:paraId="31221B0D" w14:textId="15FB9CA9" w:rsidR="00967EE6" w:rsidRPr="0059218B" w:rsidRDefault="150B919F" w:rsidP="150B919F">
      <w:pPr>
        <w:pStyle w:val="ListParagraph"/>
        <w:numPr>
          <w:ilvl w:val="0"/>
          <w:numId w:val="47"/>
        </w:numPr>
        <w:ind w:left="714" w:hanging="357"/>
      </w:pPr>
      <w:r w:rsidRPr="41ED6CC6">
        <w:rPr>
          <w:b/>
          <w:bCs/>
        </w:rPr>
        <w:t xml:space="preserve">Pain points. </w:t>
      </w:r>
      <w:r w:rsidRPr="41ED6CC6">
        <w:t>For example,</w:t>
      </w:r>
      <w:r w:rsidRPr="41ED6CC6">
        <w:rPr>
          <w:b/>
          <w:bCs/>
        </w:rPr>
        <w:t xml:space="preserve"> </w:t>
      </w:r>
      <w:r w:rsidRPr="41ED6CC6">
        <w:t xml:space="preserve">do employees report that they are not comfortable raising D&amp;I concerns? This indicates a need to build employee confidence in your grievance procedures and managers’ capability to use these procedures for a fair process and fair outcome. </w:t>
      </w:r>
    </w:p>
    <w:p w14:paraId="3D7B0CC2" w14:textId="392F85DC" w:rsidR="00967EE6" w:rsidRPr="0059218B" w:rsidRDefault="150B919F" w:rsidP="150B919F">
      <w:pPr>
        <w:pStyle w:val="ListParagraph"/>
        <w:numPr>
          <w:ilvl w:val="0"/>
          <w:numId w:val="17"/>
        </w:numPr>
        <w:ind w:left="714" w:hanging="357"/>
      </w:pPr>
      <w:r w:rsidRPr="41ED6CC6">
        <w:rPr>
          <w:b/>
          <w:bCs/>
        </w:rPr>
        <w:t xml:space="preserve">Organisational areas. </w:t>
      </w:r>
      <w:r w:rsidRPr="41ED6CC6">
        <w:t xml:space="preserve">Are any departments, business units, divisions or regions less inclusive than your organisation overall? </w:t>
      </w:r>
    </w:p>
    <w:p w14:paraId="2B993224" w14:textId="5799FDEB" w:rsidR="00CA1BD0" w:rsidRDefault="00AF62B7" w:rsidP="41ED6CC6">
      <w:pPr>
        <w:pStyle w:val="Default"/>
        <w:rPr>
          <w:rFonts w:ascii="Aptos" w:hAnsi="Aptos"/>
        </w:rPr>
      </w:pPr>
      <w:r w:rsidRPr="0059218B">
        <w:rPr>
          <w:rFonts w:ascii="Aptos" w:hAnsi="Aptos"/>
        </w:rPr>
        <w:t>B</w:t>
      </w:r>
      <w:r w:rsidR="00D1724B" w:rsidRPr="0059218B">
        <w:rPr>
          <w:rFonts w:ascii="Aptos" w:hAnsi="Aptos"/>
        </w:rPr>
        <w:t xml:space="preserve">enchmark </w:t>
      </w:r>
      <w:r w:rsidRPr="0059218B">
        <w:rPr>
          <w:rFonts w:ascii="Aptos" w:hAnsi="Aptos"/>
        </w:rPr>
        <w:t>your overall inclusion results by comparing the</w:t>
      </w:r>
      <w:r w:rsidR="009654D6">
        <w:rPr>
          <w:rFonts w:ascii="Aptos" w:hAnsi="Aptos"/>
        </w:rPr>
        <w:t>m with</w:t>
      </w:r>
      <w:r w:rsidRPr="0059218B">
        <w:rPr>
          <w:rFonts w:ascii="Aptos" w:hAnsi="Aptos"/>
        </w:rPr>
        <w:t xml:space="preserve"> any other inclusion results </w:t>
      </w:r>
      <w:r w:rsidR="00D1724B" w:rsidRPr="0059218B">
        <w:rPr>
          <w:rFonts w:ascii="Aptos" w:hAnsi="Aptos"/>
        </w:rPr>
        <w:t>you have access to.</w:t>
      </w:r>
    </w:p>
    <w:p w14:paraId="07C4CD8D" w14:textId="65D4B10D" w:rsidR="00D1724B" w:rsidRDefault="150B919F" w:rsidP="00CA1BD0">
      <w:pPr>
        <w:pStyle w:val="Default"/>
        <w:spacing w:before="120"/>
        <w:rPr>
          <w:rFonts w:ascii="Aptos" w:hAnsi="Aptos"/>
        </w:rPr>
      </w:pPr>
      <w:r w:rsidRPr="41ED6CC6">
        <w:rPr>
          <w:rFonts w:ascii="Aptos" w:hAnsi="Aptos"/>
        </w:rPr>
        <w:t xml:space="preserve">Consider participating in DCA’s </w:t>
      </w:r>
      <w:hyperlink r:id="rId22">
        <w:r w:rsidRPr="41ED6CC6">
          <w:rPr>
            <w:rStyle w:val="Hyperlink"/>
            <w:rFonts w:ascii="Aptos" w:hAnsi="Aptos"/>
          </w:rPr>
          <w:t>Inclusive Employer Index</w:t>
        </w:r>
      </w:hyperlink>
      <w:r w:rsidRPr="41ED6CC6">
        <w:t>. The index</w:t>
      </w:r>
      <w:r w:rsidRPr="41ED6CC6">
        <w:rPr>
          <w:rFonts w:ascii="Aptos" w:hAnsi="Aptos"/>
        </w:rPr>
        <w:t xml:space="preserve"> benchmarks your employees’ inclusion and exclusion experiences against the Australian workforce, DCA members, and (where possible) your industry. </w:t>
      </w:r>
    </w:p>
    <w:p w14:paraId="1F4BF8C5" w14:textId="1C76F675" w:rsidR="00AA3ACF" w:rsidRDefault="00AA3ACF" w:rsidP="00AA3ACF">
      <w:pPr>
        <w:pStyle w:val="Heading4"/>
        <w:spacing w:before="360"/>
      </w:pPr>
      <w:r>
        <w:t>Have you considered participating in DCA’s Inclusive Employer Index?</w:t>
      </w:r>
    </w:p>
    <w:p w14:paraId="1026D9F3" w14:textId="5B90F65A" w:rsidR="00C632AB" w:rsidRPr="0059218B" w:rsidRDefault="00AA3ACF" w:rsidP="00AA3ACF">
      <w:pPr>
        <w:rPr>
          <w:rFonts w:asciiTheme="majorHAnsi" w:eastAsiaTheme="majorEastAsia" w:hAnsiTheme="majorHAnsi" w:cstheme="majorBidi"/>
          <w:b/>
          <w:bCs/>
          <w:color w:val="0F4761" w:themeColor="accent1" w:themeShade="BF"/>
          <w:sz w:val="28"/>
          <w:szCs w:val="28"/>
        </w:rPr>
      </w:pPr>
      <w:r w:rsidRPr="00AA3ACF">
        <w:t xml:space="preserve">Organisations can compare their inclusion results against a </w:t>
      </w:r>
      <w:r w:rsidRPr="00AA3ACF">
        <w:rPr>
          <w:b/>
          <w:bCs/>
        </w:rPr>
        <w:t>National Workplace Benchmark</w:t>
      </w:r>
      <w:r w:rsidRPr="00AA3ACF">
        <w:t xml:space="preserve"> (derived from a nationally representative survey of 3,000 Australian workers), a </w:t>
      </w:r>
      <w:r w:rsidRPr="00AA3ACF">
        <w:rPr>
          <w:b/>
          <w:bCs/>
        </w:rPr>
        <w:t>Leading Practice Benchmark</w:t>
      </w:r>
      <w:r w:rsidRPr="00AA3ACF">
        <w:t xml:space="preserve"> (derived from DCA member organisations that participate in the Index), and (where possible) an </w:t>
      </w:r>
      <w:r w:rsidRPr="00AA3ACF">
        <w:rPr>
          <w:b/>
          <w:bCs/>
        </w:rPr>
        <w:t>Industry Benchmark</w:t>
      </w:r>
      <w:r w:rsidRPr="00AA3ACF">
        <w:t>.</w:t>
      </w:r>
    </w:p>
    <w:p w14:paraId="106E1522" w14:textId="1F0CBD90" w:rsidR="00EB5003" w:rsidRPr="0059218B" w:rsidRDefault="00EB5003" w:rsidP="0085640E">
      <w:pPr>
        <w:pStyle w:val="Heading3"/>
      </w:pPr>
      <w:r w:rsidRPr="0059218B">
        <w:t xml:space="preserve">Analyse </w:t>
      </w:r>
      <w:r w:rsidR="00776B95" w:rsidRPr="0059218B">
        <w:t>e</w:t>
      </w:r>
      <w:r w:rsidR="00FC7E20" w:rsidRPr="0059218B">
        <w:t xml:space="preserve">mployee </w:t>
      </w:r>
      <w:r w:rsidR="00776B95" w:rsidRPr="0059218B">
        <w:t>i</w:t>
      </w:r>
      <w:r w:rsidRPr="0059218B">
        <w:t xml:space="preserve">nclusion </w:t>
      </w:r>
      <w:r w:rsidR="00776B95" w:rsidRPr="0059218B">
        <w:t>e</w:t>
      </w:r>
      <w:r w:rsidRPr="0059218B">
        <w:t xml:space="preserve">xperiences by </w:t>
      </w:r>
      <w:r w:rsidR="00776B95" w:rsidRPr="0059218B">
        <w:t>d</w:t>
      </w:r>
      <w:r w:rsidRPr="0059218B">
        <w:t xml:space="preserve">iversity </w:t>
      </w:r>
    </w:p>
    <w:p w14:paraId="5C82C889" w14:textId="643D789B" w:rsidR="00E41D90" w:rsidRPr="0059218B" w:rsidRDefault="001C0481" w:rsidP="002542DE">
      <w:pPr>
        <w:rPr>
          <w:szCs w:val="24"/>
        </w:rPr>
      </w:pPr>
      <w:r w:rsidRPr="0059218B">
        <w:rPr>
          <w:b/>
          <w:bCs/>
          <w:szCs w:val="24"/>
        </w:rPr>
        <w:t xml:space="preserve">Why? </w:t>
      </w:r>
      <w:r w:rsidR="00FA1006" w:rsidRPr="0059218B">
        <w:rPr>
          <w:szCs w:val="24"/>
        </w:rPr>
        <w:t>Analysing employee inclusion experience</w:t>
      </w:r>
      <w:r w:rsidR="00BE223E" w:rsidRPr="0059218B">
        <w:rPr>
          <w:szCs w:val="24"/>
        </w:rPr>
        <w:t>s</w:t>
      </w:r>
      <w:r w:rsidR="00FA1006" w:rsidRPr="0059218B">
        <w:rPr>
          <w:szCs w:val="24"/>
        </w:rPr>
        <w:t xml:space="preserve"> by diversity helps you prioritise D&amp;I areas to focus on.</w:t>
      </w:r>
      <w:r w:rsidR="00E41D90" w:rsidRPr="0059218B">
        <w:rPr>
          <w:szCs w:val="24"/>
        </w:rPr>
        <w:t xml:space="preserve"> </w:t>
      </w:r>
      <w:r w:rsidR="002542DE" w:rsidRPr="0059218B">
        <w:rPr>
          <w:szCs w:val="24"/>
        </w:rPr>
        <w:t>For example, your results might show that</w:t>
      </w:r>
      <w:r w:rsidR="00E41D90" w:rsidRPr="0059218B">
        <w:rPr>
          <w:szCs w:val="24"/>
        </w:rPr>
        <w:t>:</w:t>
      </w:r>
    </w:p>
    <w:p w14:paraId="40E2D593" w14:textId="068B24BC" w:rsidR="00C1204B" w:rsidRPr="0059218B" w:rsidRDefault="00C1204B" w:rsidP="00337E92">
      <w:pPr>
        <w:pStyle w:val="ListParagraph"/>
        <w:numPr>
          <w:ilvl w:val="0"/>
          <w:numId w:val="17"/>
        </w:numPr>
        <w:ind w:left="714" w:hanging="357"/>
        <w:contextualSpacing w:val="0"/>
        <w:rPr>
          <w:szCs w:val="24"/>
        </w:rPr>
      </w:pPr>
      <w:r w:rsidRPr="0059218B">
        <w:rPr>
          <w:szCs w:val="24"/>
        </w:rPr>
        <w:t>Aboriginal and/or Torres Strait Islander employees experience more harassment than non-Indigenous employees</w:t>
      </w:r>
    </w:p>
    <w:p w14:paraId="2A523F99" w14:textId="7EDAAEA8" w:rsidR="00C1204B" w:rsidRPr="0059218B" w:rsidRDefault="004B1C04" w:rsidP="00337E92">
      <w:pPr>
        <w:pStyle w:val="ListParagraph"/>
        <w:numPr>
          <w:ilvl w:val="0"/>
          <w:numId w:val="17"/>
        </w:numPr>
        <w:ind w:left="714" w:hanging="357"/>
        <w:contextualSpacing w:val="0"/>
        <w:rPr>
          <w:szCs w:val="24"/>
        </w:rPr>
      </w:pPr>
      <w:r w:rsidRPr="0059218B">
        <w:rPr>
          <w:szCs w:val="24"/>
        </w:rPr>
        <w:t>LGBT</w:t>
      </w:r>
      <w:r w:rsidR="00187535">
        <w:rPr>
          <w:szCs w:val="24"/>
        </w:rPr>
        <w:t>I</w:t>
      </w:r>
      <w:r w:rsidRPr="0059218B">
        <w:rPr>
          <w:szCs w:val="24"/>
        </w:rPr>
        <w:t>Q+</w:t>
      </w:r>
      <w:r w:rsidR="002542DE" w:rsidRPr="0059218B">
        <w:rPr>
          <w:szCs w:val="24"/>
        </w:rPr>
        <w:t xml:space="preserve"> employees are less </w:t>
      </w:r>
      <w:r w:rsidR="00A553AE" w:rsidRPr="0059218B">
        <w:rPr>
          <w:szCs w:val="24"/>
        </w:rPr>
        <w:t xml:space="preserve">likely to </w:t>
      </w:r>
      <w:r w:rsidR="00C129E6">
        <w:rPr>
          <w:szCs w:val="24"/>
        </w:rPr>
        <w:t>be</w:t>
      </w:r>
      <w:r w:rsidR="00C1204B" w:rsidRPr="0059218B">
        <w:rPr>
          <w:szCs w:val="24"/>
        </w:rPr>
        <w:t xml:space="preserve"> treated with respect at work than non-LGBT</w:t>
      </w:r>
      <w:r w:rsidR="00752B53">
        <w:rPr>
          <w:szCs w:val="24"/>
        </w:rPr>
        <w:t>I</w:t>
      </w:r>
      <w:r w:rsidR="00C1204B" w:rsidRPr="0059218B">
        <w:rPr>
          <w:szCs w:val="24"/>
        </w:rPr>
        <w:t>Q+ employees</w:t>
      </w:r>
    </w:p>
    <w:p w14:paraId="75ECC732" w14:textId="23D2F33B" w:rsidR="00C1204B" w:rsidRPr="0059218B" w:rsidRDefault="00C1204B" w:rsidP="41ED6CC6">
      <w:pPr>
        <w:pStyle w:val="ListParagraph"/>
        <w:numPr>
          <w:ilvl w:val="0"/>
          <w:numId w:val="17"/>
        </w:numPr>
        <w:ind w:left="714" w:hanging="357"/>
      </w:pPr>
      <w:r w:rsidRPr="41ED6CC6">
        <w:t xml:space="preserve">employees with disability </w:t>
      </w:r>
      <w:r w:rsidR="003310A0" w:rsidRPr="41ED6CC6">
        <w:t>are less likely to</w:t>
      </w:r>
      <w:r w:rsidR="006E1F58">
        <w:t xml:space="preserve"> </w:t>
      </w:r>
      <w:r w:rsidR="003310A0" w:rsidRPr="41ED6CC6">
        <w:t xml:space="preserve">receive regular development opportunities than </w:t>
      </w:r>
      <w:r w:rsidRPr="41ED6CC6">
        <w:t>employees without disability</w:t>
      </w:r>
      <w:r w:rsidR="003310A0" w:rsidRPr="41ED6CC6">
        <w:t>.</w:t>
      </w:r>
    </w:p>
    <w:p w14:paraId="66231A60" w14:textId="1C67CFD4" w:rsidR="008B0955" w:rsidRPr="0059218B" w:rsidRDefault="001C0481" w:rsidP="005440B3">
      <w:pPr>
        <w:rPr>
          <w:szCs w:val="24"/>
        </w:rPr>
      </w:pPr>
      <w:r w:rsidRPr="0059218B">
        <w:rPr>
          <w:b/>
          <w:bCs/>
          <w:szCs w:val="24"/>
        </w:rPr>
        <w:t xml:space="preserve">How? </w:t>
      </w:r>
      <w:r w:rsidR="00EA2900" w:rsidRPr="0059218B">
        <w:rPr>
          <w:szCs w:val="24"/>
        </w:rPr>
        <w:t>You can analyse employee inclusion experiences by diversity if you</w:t>
      </w:r>
      <w:r w:rsidR="008B0955" w:rsidRPr="0059218B">
        <w:rPr>
          <w:szCs w:val="24"/>
        </w:rPr>
        <w:t>:</w:t>
      </w:r>
    </w:p>
    <w:p w14:paraId="74B39B8B" w14:textId="2688141A" w:rsidR="00D15E65" w:rsidRPr="0059218B" w:rsidRDefault="005440B3" w:rsidP="005440B3">
      <w:pPr>
        <w:pStyle w:val="ListParagraph"/>
        <w:numPr>
          <w:ilvl w:val="0"/>
          <w:numId w:val="48"/>
        </w:numPr>
        <w:ind w:left="714" w:hanging="357"/>
        <w:contextualSpacing w:val="0"/>
        <w:rPr>
          <w:b/>
          <w:bCs/>
          <w:szCs w:val="24"/>
        </w:rPr>
      </w:pPr>
      <w:r>
        <w:rPr>
          <w:szCs w:val="24"/>
        </w:rPr>
        <w:t>run</w:t>
      </w:r>
      <w:r w:rsidRPr="0059218B">
        <w:rPr>
          <w:szCs w:val="24"/>
        </w:rPr>
        <w:t xml:space="preserve"> </w:t>
      </w:r>
      <w:r w:rsidR="00EA2900" w:rsidRPr="0059218B">
        <w:rPr>
          <w:szCs w:val="24"/>
        </w:rPr>
        <w:t xml:space="preserve">a D&amp;I </w:t>
      </w:r>
      <w:r w:rsidR="009654D6">
        <w:rPr>
          <w:szCs w:val="24"/>
        </w:rPr>
        <w:t>s</w:t>
      </w:r>
      <w:r w:rsidR="00EA2900" w:rsidRPr="0059218B">
        <w:rPr>
          <w:szCs w:val="24"/>
        </w:rPr>
        <w:t xml:space="preserve">urvey </w:t>
      </w:r>
      <w:r w:rsidR="003C6ADF" w:rsidRPr="0059218B">
        <w:rPr>
          <w:szCs w:val="24"/>
        </w:rPr>
        <w:t xml:space="preserve">with both diversity questions and inclusion questions </w:t>
      </w:r>
      <w:r w:rsidR="00EA2900" w:rsidRPr="0059218B">
        <w:rPr>
          <w:szCs w:val="24"/>
        </w:rPr>
        <w:t xml:space="preserve">or </w:t>
      </w:r>
      <w:r w:rsidR="008B0955" w:rsidRPr="0059218B">
        <w:rPr>
          <w:szCs w:val="24"/>
        </w:rPr>
        <w:t xml:space="preserve">an </w:t>
      </w:r>
      <w:r w:rsidR="009654D6">
        <w:rPr>
          <w:szCs w:val="24"/>
        </w:rPr>
        <w:t>e</w:t>
      </w:r>
      <w:r w:rsidR="00EA2900" w:rsidRPr="0059218B">
        <w:rPr>
          <w:szCs w:val="24"/>
        </w:rPr>
        <w:t xml:space="preserve">ngagement or </w:t>
      </w:r>
      <w:r w:rsidR="009654D6">
        <w:rPr>
          <w:szCs w:val="24"/>
        </w:rPr>
        <w:t>c</w:t>
      </w:r>
      <w:r w:rsidR="00EA2900" w:rsidRPr="0059218B">
        <w:rPr>
          <w:szCs w:val="24"/>
        </w:rPr>
        <w:t xml:space="preserve">limate </w:t>
      </w:r>
      <w:r w:rsidR="009654D6">
        <w:rPr>
          <w:szCs w:val="24"/>
        </w:rPr>
        <w:t>s</w:t>
      </w:r>
      <w:r w:rsidR="00EA2900" w:rsidRPr="0059218B">
        <w:rPr>
          <w:szCs w:val="24"/>
        </w:rPr>
        <w:t>urvey</w:t>
      </w:r>
      <w:r w:rsidR="008B0955" w:rsidRPr="0059218B">
        <w:rPr>
          <w:szCs w:val="24"/>
        </w:rPr>
        <w:t xml:space="preserve"> with diversity questions</w:t>
      </w:r>
      <w:r w:rsidR="00D15E65" w:rsidRPr="0059218B">
        <w:rPr>
          <w:szCs w:val="24"/>
        </w:rPr>
        <w:t xml:space="preserve"> </w:t>
      </w:r>
      <w:r w:rsidR="00EA2900" w:rsidRPr="0059218B">
        <w:rPr>
          <w:szCs w:val="24"/>
        </w:rPr>
        <w:t xml:space="preserve"> </w:t>
      </w:r>
    </w:p>
    <w:p w14:paraId="0A7ED7A2" w14:textId="770ECA5A" w:rsidR="00EA2900" w:rsidRPr="0059218B" w:rsidRDefault="00D15E65" w:rsidP="005440B3">
      <w:pPr>
        <w:pStyle w:val="ListParagraph"/>
        <w:numPr>
          <w:ilvl w:val="0"/>
          <w:numId w:val="48"/>
        </w:numPr>
        <w:ind w:left="714" w:hanging="357"/>
        <w:contextualSpacing w:val="0"/>
        <w:rPr>
          <w:b/>
          <w:bCs/>
          <w:szCs w:val="24"/>
        </w:rPr>
      </w:pPr>
      <w:r w:rsidRPr="0059218B">
        <w:rPr>
          <w:szCs w:val="24"/>
        </w:rPr>
        <w:t xml:space="preserve">use </w:t>
      </w:r>
      <w:r w:rsidR="00486305" w:rsidRPr="0059218B">
        <w:rPr>
          <w:szCs w:val="24"/>
        </w:rPr>
        <w:t>this dataset to c</w:t>
      </w:r>
      <w:r w:rsidR="00EA2900" w:rsidRPr="0059218B">
        <w:rPr>
          <w:szCs w:val="24"/>
        </w:rPr>
        <w:t xml:space="preserve">ompare the inclusion experiences of marginalised employees and non-marginalised employees (e.g. employees with disability </w:t>
      </w:r>
      <w:r w:rsidR="009654D6">
        <w:rPr>
          <w:szCs w:val="24"/>
        </w:rPr>
        <w:t>and</w:t>
      </w:r>
      <w:r w:rsidR="009654D6" w:rsidRPr="0059218B">
        <w:rPr>
          <w:szCs w:val="24"/>
        </w:rPr>
        <w:t xml:space="preserve"> </w:t>
      </w:r>
      <w:r w:rsidR="00EA2900" w:rsidRPr="0059218B">
        <w:rPr>
          <w:szCs w:val="24"/>
        </w:rPr>
        <w:t>employees without disability).</w:t>
      </w:r>
    </w:p>
    <w:p w14:paraId="75C426F4" w14:textId="53E8F0E0" w:rsidR="002542DE" w:rsidRPr="005440B3" w:rsidRDefault="150B919F" w:rsidP="005440B3">
      <w:r w:rsidRPr="41ED6CC6">
        <w:rPr>
          <w:b/>
          <w:bCs/>
        </w:rPr>
        <w:t xml:space="preserve">Find a data specialist. </w:t>
      </w:r>
      <w:r w:rsidRPr="41ED6CC6">
        <w:t xml:space="preserve">DCA recommends collaborating with employees who have data analysis expertise (including the capacity to identify statistically significant percentage differences) – if you have them. This is the most effective and efficient way of analysing D&amp;I data, as you will have people with both data analysis expertise and D&amp;I subject matter expertise. </w:t>
      </w:r>
    </w:p>
    <w:p w14:paraId="116EE0BD" w14:textId="09812D71" w:rsidR="001A5E22" w:rsidRPr="005440B3" w:rsidRDefault="150B919F" w:rsidP="005440B3">
      <w:r w:rsidRPr="41ED6CC6">
        <w:rPr>
          <w:b/>
          <w:bCs/>
        </w:rPr>
        <w:t>Check your survey platform functionality.</w:t>
      </w:r>
      <w:r w:rsidRPr="41ED6CC6">
        <w:t xml:space="preserve"> If you do not have employees with data analysis expertise, you can still explore your inclusion experience data by diversity. Some survey providers (e.g. SurveyMonkey) have built this type of “cross tabulation” analysis and reporting functionality into their platform. </w:t>
      </w:r>
    </w:p>
    <w:p w14:paraId="4FE32F71" w14:textId="763502C0" w:rsidR="005440B3" w:rsidRPr="005440B3" w:rsidRDefault="150B919F" w:rsidP="00F85232">
      <w:r w:rsidRPr="41ED6CC6">
        <w:rPr>
          <w:b/>
          <w:bCs/>
        </w:rPr>
        <w:t xml:space="preserve">Look for notable patterns: big differences. </w:t>
      </w:r>
      <w:r w:rsidRPr="41ED6CC6">
        <w:t>If your survey platform does not have this functionality, look for large differences in how different employee cohorts have answered inclusion-related questions. A big difference</w:t>
      </w:r>
      <w:r w:rsidRPr="41ED6CC6">
        <w:rPr>
          <w:b/>
          <w:bCs/>
        </w:rPr>
        <w:t xml:space="preserve"> </w:t>
      </w:r>
      <w:r w:rsidRPr="41ED6CC6">
        <w:t xml:space="preserve">could be 10%+ for larger responses. Big differences are typically more present across your “Strongly agree + Agree” responses. </w:t>
      </w:r>
    </w:p>
    <w:p w14:paraId="57544504" w14:textId="77777777" w:rsidR="005F798C" w:rsidRDefault="150B919F" w:rsidP="00F85232">
      <w:r w:rsidRPr="41ED6CC6">
        <w:t>For example, in the following chart, 27% of all LGBTIQ+ respondents strongly agreed or agreed that they felt valued and respected, compared with 65% of all non-LGBTIQ+ respondents. This is a very big difference and means that LGBTIQ+ employees are much less likely to feel valued and respected at work than LGBTIQ+ employees. So this organisation needs to focus on building LGBTIQ+ inclusion, specifically around respect.</w:t>
      </w:r>
    </w:p>
    <w:p w14:paraId="7D253A9D" w14:textId="77777777" w:rsidR="005F798C" w:rsidRDefault="005F798C" w:rsidP="005F798C">
      <w:pPr>
        <w:pStyle w:val="Heading4"/>
      </w:pPr>
      <w:r>
        <w:t>Chart description</w:t>
      </w:r>
    </w:p>
    <w:p w14:paraId="6813DC6D" w14:textId="77777777" w:rsidR="005F798C" w:rsidRDefault="005F798C" w:rsidP="002A761F">
      <w:r>
        <w:t>Title: I am treated as a valued and respected team member.</w:t>
      </w:r>
    </w:p>
    <w:p w14:paraId="7A02C62D" w14:textId="5B0404E2" w:rsidR="002542DE" w:rsidRDefault="005F798C" w:rsidP="002A761F">
      <w:pPr>
        <w:pStyle w:val="ListParagraph"/>
        <w:numPr>
          <w:ilvl w:val="0"/>
          <w:numId w:val="58"/>
        </w:numPr>
      </w:pPr>
      <w:r>
        <w:t xml:space="preserve">Disagree/Strongly disagree: </w:t>
      </w:r>
      <w:r w:rsidR="150B919F" w:rsidRPr="41ED6CC6">
        <w:t xml:space="preserve"> </w:t>
      </w:r>
      <w:r>
        <w:t xml:space="preserve">41% of </w:t>
      </w:r>
      <w:r w:rsidR="00EF0948">
        <w:t xml:space="preserve">all LGBTIQ+ respondents versus 21% of </w:t>
      </w:r>
      <w:r w:rsidR="006878B1">
        <w:t>all non-LGBTIQ+ respondents.</w:t>
      </w:r>
    </w:p>
    <w:p w14:paraId="723AB0C9" w14:textId="2C8A75D9" w:rsidR="006878B1" w:rsidRDefault="006878B1" w:rsidP="002A761F">
      <w:pPr>
        <w:pStyle w:val="ListParagraph"/>
        <w:numPr>
          <w:ilvl w:val="0"/>
          <w:numId w:val="58"/>
        </w:numPr>
      </w:pPr>
      <w:r>
        <w:t>Neither agree or disagree: 32% of all LGBTIQ+ respondents versus 14% of all non-LGBTIQ+ respondents.</w:t>
      </w:r>
    </w:p>
    <w:p w14:paraId="5779A6C8" w14:textId="516E14E3" w:rsidR="002542DE" w:rsidRPr="0059218B" w:rsidRDefault="006878B1" w:rsidP="002A761F">
      <w:pPr>
        <w:pStyle w:val="ListParagraph"/>
        <w:numPr>
          <w:ilvl w:val="0"/>
          <w:numId w:val="58"/>
        </w:numPr>
      </w:pPr>
      <w:r>
        <w:t xml:space="preserve">Agree/Strongly agree: 27% of all LGBTIQ+ respondents versus </w:t>
      </w:r>
      <w:r w:rsidR="002A761F">
        <w:t>65% of all non-LGBTIQ+ respondents.</w:t>
      </w:r>
    </w:p>
    <w:p w14:paraId="037D5BF0" w14:textId="106737CA" w:rsidR="00DF2706" w:rsidRPr="0059218B" w:rsidRDefault="00A849E2" w:rsidP="002542DE">
      <w:pPr>
        <w:rPr>
          <w:szCs w:val="24"/>
        </w:rPr>
      </w:pPr>
      <w:r w:rsidRPr="0059218B">
        <w:rPr>
          <w:noProof/>
          <w:szCs w:val="24"/>
        </w:rPr>
        <w:drawing>
          <wp:inline distT="0" distB="0" distL="0" distR="0" wp14:anchorId="79E497F3" wp14:editId="3AACCF2B">
            <wp:extent cx="5486400" cy="2607398"/>
            <wp:effectExtent l="0" t="0" r="0" b="2540"/>
            <wp:docPr id="833940264" name="Chart 1" descr="Title: I am treated as a valued and respected team member.&#10;• Disagree/Strongly disagree:  41% of all LGBTIQ+ respondents versus 21% of all non-LGBTIQ+ respondents.&#10;• Neither agree or disagree: 32% of all LGBTIQ+ respondents versus 14% of all non-LGBTIQ+ respondents.&#10;• Agree/Strongly agree: 27% of all LGBTIQ+ respondents versus 65% of all non-LGBTIQ+ respon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A8D49B0" w14:textId="49079A35" w:rsidR="002A761F" w:rsidRDefault="002A761F" w:rsidP="002A761F">
      <w:pPr>
        <w:pStyle w:val="Heading3"/>
      </w:pPr>
      <w:r>
        <w:t>Analyse employee inclusion experiences by diversity (continued)</w:t>
      </w:r>
    </w:p>
    <w:p w14:paraId="46FA560E" w14:textId="73143DA1" w:rsidR="002542DE" w:rsidRPr="0059218B" w:rsidRDefault="150B919F" w:rsidP="0091286B">
      <w:r w:rsidRPr="41ED6CC6">
        <w:rPr>
          <w:b/>
          <w:bCs/>
        </w:rPr>
        <w:t xml:space="preserve">Look for notable patterns: lots of small differences. </w:t>
      </w:r>
      <w:r w:rsidRPr="41ED6CC6">
        <w:t>Sometimes a notable pattern can be many smaller differences across multiple questions. A smaller difference</w:t>
      </w:r>
      <w:r w:rsidRPr="41ED6CC6">
        <w:rPr>
          <w:b/>
          <w:bCs/>
        </w:rPr>
        <w:t xml:space="preserve"> </w:t>
      </w:r>
      <w:r w:rsidRPr="41ED6CC6">
        <w:t xml:space="preserve">(e.g. 5%) is also notable if it appears on many questions. Smaller differences are usually more common in the “Strongly disagree + Disagree” responses. For example, are employees with disability consistently reporting 5% less agreement than employees with disability across many questions? </w:t>
      </w:r>
    </w:p>
    <w:p w14:paraId="4A7116E9" w14:textId="3CD65777" w:rsidR="002542DE" w:rsidRPr="0059218B" w:rsidRDefault="150B919F" w:rsidP="00EB5003">
      <w:r w:rsidRPr="41ED6CC6">
        <w:rPr>
          <w:b/>
          <w:bCs/>
        </w:rPr>
        <w:t>Remember that sample size matters!</w:t>
      </w:r>
      <w:r w:rsidRPr="41ED6CC6">
        <w:t xml:space="preserve"> DCA suggests having at least 20 respondents in a particular diversity group to enable meaningful and accurate interpretation of data. For example, if you want to compare Aboriginal and/or Torres Strait Islander employee responses with non-Indigenous employee responses you will need at least 20 respondents in each of these employee cohorts.</w:t>
      </w:r>
    </w:p>
    <w:p w14:paraId="246E1CCF" w14:textId="6146143F" w:rsidR="00EB5003" w:rsidRPr="0059218B" w:rsidRDefault="00863FA9" w:rsidP="002A761F">
      <w:pPr>
        <w:pStyle w:val="Heading3"/>
      </w:pPr>
      <w:r w:rsidRPr="0059218B">
        <w:t xml:space="preserve">Analyse </w:t>
      </w:r>
      <w:r w:rsidR="00530505" w:rsidRPr="0059218B">
        <w:t>y</w:t>
      </w:r>
      <w:r w:rsidR="00EB5003" w:rsidRPr="0059218B">
        <w:t xml:space="preserve">our HR </w:t>
      </w:r>
      <w:r w:rsidR="00530505" w:rsidRPr="0059218B">
        <w:t>i</w:t>
      </w:r>
      <w:r w:rsidR="00EB5003" w:rsidRPr="0059218B">
        <w:t xml:space="preserve">nformation </w:t>
      </w:r>
      <w:r w:rsidR="00530505" w:rsidRPr="0059218B">
        <w:t>s</w:t>
      </w:r>
      <w:r w:rsidR="00EB5003" w:rsidRPr="0059218B">
        <w:t xml:space="preserve">ystem </w:t>
      </w:r>
      <w:r w:rsidR="00530505" w:rsidRPr="0059218B">
        <w:t>d</w:t>
      </w:r>
      <w:r w:rsidR="00EB5003" w:rsidRPr="0059218B">
        <w:t xml:space="preserve">ata </w:t>
      </w:r>
      <w:r w:rsidRPr="0059218B">
        <w:t xml:space="preserve">by </w:t>
      </w:r>
      <w:r w:rsidR="00530505" w:rsidRPr="0059218B">
        <w:t>d</w:t>
      </w:r>
      <w:r w:rsidRPr="0059218B">
        <w:t>iversity</w:t>
      </w:r>
    </w:p>
    <w:p w14:paraId="22F1B7FF" w14:textId="6BE20229" w:rsidR="00323B20" w:rsidRPr="0059218B" w:rsidRDefault="150B919F" w:rsidP="00323B20">
      <w:r w:rsidRPr="41ED6CC6">
        <w:rPr>
          <w:b/>
          <w:bCs/>
        </w:rPr>
        <w:t xml:space="preserve">Why? </w:t>
      </w:r>
      <w:r w:rsidRPr="41ED6CC6">
        <w:t>If you capture diversity data in your HRIS, you can analysis employee data (i.e. parental leave return rates, remuneration or training opportunities) by diversity cohort. This can help you prioritise D&amp;I areas to focus on. For example, your results might show that:</w:t>
      </w:r>
    </w:p>
    <w:p w14:paraId="6131AAF1" w14:textId="1688521B" w:rsidR="00812107" w:rsidRPr="0059218B" w:rsidRDefault="00812107" w:rsidP="00812107">
      <w:pPr>
        <w:pStyle w:val="ListParagraph"/>
        <w:numPr>
          <w:ilvl w:val="0"/>
          <w:numId w:val="17"/>
        </w:numPr>
        <w:contextualSpacing w:val="0"/>
      </w:pPr>
      <w:r w:rsidRPr="0059218B">
        <w:t>graduates</w:t>
      </w:r>
      <w:r w:rsidR="003E1B3B">
        <w:t xml:space="preserve"> that are men</w:t>
      </w:r>
      <w:r w:rsidRPr="0059218B">
        <w:t xml:space="preserve"> are more likely to be appointed at a higher </w:t>
      </w:r>
      <w:r w:rsidR="004B4CD1" w:rsidRPr="0059218B">
        <w:t xml:space="preserve">pay point than equally qualified and experienced </w:t>
      </w:r>
      <w:r w:rsidRPr="0059218B">
        <w:t xml:space="preserve">women and non-binary </w:t>
      </w:r>
      <w:r w:rsidR="004B4CD1" w:rsidRPr="0059218B">
        <w:t xml:space="preserve">graduates </w:t>
      </w:r>
    </w:p>
    <w:p w14:paraId="0F71C5FD" w14:textId="48D8EFE9" w:rsidR="0014215C" w:rsidRPr="0059218B" w:rsidRDefault="0014215C" w:rsidP="0014215C">
      <w:pPr>
        <w:pStyle w:val="ListParagraph"/>
        <w:numPr>
          <w:ilvl w:val="0"/>
          <w:numId w:val="17"/>
        </w:numPr>
        <w:contextualSpacing w:val="0"/>
      </w:pPr>
      <w:r w:rsidRPr="0059218B">
        <w:t>CARM employees are offered fewer development opportunities than non-CARM employees</w:t>
      </w:r>
      <w:r w:rsidR="005B0801" w:rsidRPr="0059218B">
        <w:t>.</w:t>
      </w:r>
    </w:p>
    <w:p w14:paraId="42FDE679" w14:textId="7946977B" w:rsidR="00A966CB" w:rsidRPr="002A761F" w:rsidRDefault="150B919F" w:rsidP="0083149D">
      <w:r w:rsidRPr="41ED6CC6">
        <w:rPr>
          <w:b/>
          <w:bCs/>
        </w:rPr>
        <w:t xml:space="preserve">How? </w:t>
      </w:r>
      <w:r w:rsidRPr="41ED6CC6">
        <w:t xml:space="preserve">Choose which HRIS data point(s) you want to understand. The following table lists examples of different types of employee lifecycle and diversity data. Not all organisations will have all of these, so choose the data points you have available. Then analyse by diversity group to identify any notable differences. For example, you might find that: </w:t>
      </w:r>
    </w:p>
    <w:p w14:paraId="5DA2ED71" w14:textId="77777777" w:rsidR="005B0801" w:rsidRPr="0059218B" w:rsidRDefault="005B0801" w:rsidP="005B0801">
      <w:pPr>
        <w:pStyle w:val="ListParagraph"/>
        <w:numPr>
          <w:ilvl w:val="0"/>
          <w:numId w:val="17"/>
        </w:numPr>
        <w:contextualSpacing w:val="0"/>
      </w:pPr>
      <w:r w:rsidRPr="0059218B">
        <w:t xml:space="preserve">employees with caring responsibilities are less likely to be promoted than employees without caring responsibilities </w:t>
      </w:r>
    </w:p>
    <w:p w14:paraId="4E7BF7EB" w14:textId="7FE98898" w:rsidR="005B0801" w:rsidRDefault="005B0801" w:rsidP="005B0801">
      <w:pPr>
        <w:pStyle w:val="ListParagraph"/>
        <w:numPr>
          <w:ilvl w:val="0"/>
          <w:numId w:val="17"/>
        </w:numPr>
        <w:contextualSpacing w:val="0"/>
      </w:pPr>
      <w:r w:rsidRPr="0059218B">
        <w:t>LGBT</w:t>
      </w:r>
      <w:r w:rsidR="00187535">
        <w:t>I</w:t>
      </w:r>
      <w:r w:rsidRPr="0059218B">
        <w:t>Q+ employees are leaving the organisation at a high</w:t>
      </w:r>
      <w:r w:rsidR="007A4318">
        <w:t>er</w:t>
      </w:r>
      <w:r w:rsidRPr="0059218B">
        <w:t xml:space="preserve"> rate than non-LGBT</w:t>
      </w:r>
      <w:r w:rsidR="00187535">
        <w:t>I</w:t>
      </w:r>
      <w:r w:rsidRPr="0059218B">
        <w:t xml:space="preserve">Q+ employees. </w:t>
      </w:r>
    </w:p>
    <w:p w14:paraId="1A56F935" w14:textId="571EFEF8" w:rsidR="006A5AB3" w:rsidRDefault="006A5AB3" w:rsidP="006A5AB3">
      <w:r>
        <w:t xml:space="preserve">Below are </w:t>
      </w:r>
      <w:r w:rsidR="00DB110A">
        <w:t xml:space="preserve">examples of </w:t>
      </w:r>
      <w:r>
        <w:t>HRIS areas and the</w:t>
      </w:r>
      <w:r w:rsidR="00DB110A">
        <w:t>ir</w:t>
      </w:r>
      <w:r>
        <w:t xml:space="preserve"> corresponding data points</w:t>
      </w:r>
      <w:r w:rsidR="00DB110A">
        <w:t>.</w:t>
      </w:r>
    </w:p>
    <w:p w14:paraId="57E0317F" w14:textId="17909591" w:rsidR="00DB110A" w:rsidRDefault="00DB110A" w:rsidP="00DB110A">
      <w:pPr>
        <w:pStyle w:val="ListParagraph"/>
        <w:numPr>
          <w:ilvl w:val="0"/>
          <w:numId w:val="17"/>
        </w:numPr>
      </w:pPr>
      <w:r>
        <w:t>Recruitment – recruitment rates</w:t>
      </w:r>
    </w:p>
    <w:p w14:paraId="6FF26662" w14:textId="5895D4BE" w:rsidR="00DB110A" w:rsidRDefault="00DB110A" w:rsidP="00DB110A">
      <w:pPr>
        <w:pStyle w:val="ListParagraph"/>
        <w:numPr>
          <w:ilvl w:val="0"/>
          <w:numId w:val="17"/>
        </w:numPr>
      </w:pPr>
      <w:r>
        <w:t>Development and promotion – promotion rates, succession plans, and nomination for and participation in professional development and sponsorship/mentoring</w:t>
      </w:r>
    </w:p>
    <w:p w14:paraId="5E61F0FC" w14:textId="151FB21E" w:rsidR="00DB110A" w:rsidRDefault="00DB110A" w:rsidP="00DB110A">
      <w:pPr>
        <w:pStyle w:val="ListParagraph"/>
        <w:numPr>
          <w:ilvl w:val="0"/>
          <w:numId w:val="17"/>
        </w:numPr>
      </w:pPr>
      <w:r>
        <w:t>Flexibility – parental leave return rate, leave rates (cultural, sick, absenteeism, family violence leave)</w:t>
      </w:r>
      <w:r w:rsidR="00684561">
        <w:t>, employment status (casual, part-time, full-time) and work location (work from home, hybrid, office, field)</w:t>
      </w:r>
    </w:p>
    <w:p w14:paraId="017BADE9" w14:textId="60007BE1" w:rsidR="00684561" w:rsidRDefault="00684561" w:rsidP="00DB110A">
      <w:pPr>
        <w:pStyle w:val="ListParagraph"/>
        <w:numPr>
          <w:ilvl w:val="0"/>
          <w:numId w:val="17"/>
        </w:numPr>
      </w:pPr>
      <w:r>
        <w:t>Respect – discrimination and harassment complaints</w:t>
      </w:r>
    </w:p>
    <w:p w14:paraId="23B3C3B1" w14:textId="6E81CD7F" w:rsidR="00684561" w:rsidRDefault="00684561" w:rsidP="00DB110A">
      <w:pPr>
        <w:pStyle w:val="ListParagraph"/>
        <w:numPr>
          <w:ilvl w:val="0"/>
          <w:numId w:val="17"/>
        </w:numPr>
      </w:pPr>
      <w:r>
        <w:t>Termination – turnover/retention data, exit interview data.</w:t>
      </w:r>
    </w:p>
    <w:p w14:paraId="1C157270" w14:textId="4BBBF557" w:rsidR="00B57043" w:rsidRDefault="00271768" w:rsidP="00684561">
      <w:r>
        <w:t>Below are diversity groups to use for analysis</w:t>
      </w:r>
      <w:r w:rsidR="00B57043">
        <w:t>.</w:t>
      </w:r>
    </w:p>
    <w:p w14:paraId="5667FF9C" w14:textId="6741F3A8" w:rsidR="00B57043" w:rsidRDefault="00B57043" w:rsidP="00B57043">
      <w:pPr>
        <w:pStyle w:val="ListParagraph"/>
        <w:numPr>
          <w:ilvl w:val="0"/>
          <w:numId w:val="17"/>
        </w:numPr>
      </w:pPr>
      <w:r>
        <w:t>Aboriginality</w:t>
      </w:r>
    </w:p>
    <w:p w14:paraId="0F53B555" w14:textId="34C04C1F" w:rsidR="00B57043" w:rsidRDefault="00B57043" w:rsidP="00B57043">
      <w:pPr>
        <w:pStyle w:val="ListParagraph"/>
        <w:numPr>
          <w:ilvl w:val="0"/>
          <w:numId w:val="17"/>
        </w:numPr>
      </w:pPr>
      <w:r>
        <w:t>Age</w:t>
      </w:r>
    </w:p>
    <w:p w14:paraId="52114069" w14:textId="29D27009" w:rsidR="00B57043" w:rsidRDefault="00B57043" w:rsidP="00B57043">
      <w:pPr>
        <w:pStyle w:val="ListParagraph"/>
        <w:numPr>
          <w:ilvl w:val="0"/>
          <w:numId w:val="17"/>
        </w:numPr>
      </w:pPr>
      <w:r>
        <w:t>Caring responsibilities</w:t>
      </w:r>
    </w:p>
    <w:p w14:paraId="1AB3B22F" w14:textId="165930AB" w:rsidR="00B57043" w:rsidRDefault="00B57043" w:rsidP="00B57043">
      <w:pPr>
        <w:pStyle w:val="ListParagraph"/>
        <w:numPr>
          <w:ilvl w:val="0"/>
          <w:numId w:val="17"/>
        </w:numPr>
      </w:pPr>
      <w:r>
        <w:t>Cultural background</w:t>
      </w:r>
    </w:p>
    <w:p w14:paraId="5169B35C" w14:textId="553E3E62" w:rsidR="00B57043" w:rsidRDefault="00B57043" w:rsidP="00B57043">
      <w:pPr>
        <w:pStyle w:val="ListParagraph"/>
        <w:numPr>
          <w:ilvl w:val="0"/>
          <w:numId w:val="17"/>
        </w:numPr>
      </w:pPr>
      <w:r>
        <w:t>Disability</w:t>
      </w:r>
    </w:p>
    <w:p w14:paraId="6F569C45" w14:textId="45E7359A" w:rsidR="00B57043" w:rsidRDefault="00B57043" w:rsidP="00B57043">
      <w:pPr>
        <w:pStyle w:val="ListParagraph"/>
        <w:numPr>
          <w:ilvl w:val="0"/>
          <w:numId w:val="17"/>
        </w:numPr>
      </w:pPr>
      <w:r>
        <w:t>Gender</w:t>
      </w:r>
    </w:p>
    <w:p w14:paraId="23140009" w14:textId="0E1290BD" w:rsidR="00B57043" w:rsidRDefault="00B57043" w:rsidP="00B57043">
      <w:pPr>
        <w:pStyle w:val="ListParagraph"/>
        <w:numPr>
          <w:ilvl w:val="0"/>
          <w:numId w:val="17"/>
        </w:numPr>
      </w:pPr>
      <w:r>
        <w:t>Language</w:t>
      </w:r>
    </w:p>
    <w:p w14:paraId="0CE098E9" w14:textId="257049AB" w:rsidR="00B57043" w:rsidRDefault="00B57043" w:rsidP="00B57043">
      <w:pPr>
        <w:pStyle w:val="ListParagraph"/>
        <w:numPr>
          <w:ilvl w:val="0"/>
          <w:numId w:val="17"/>
        </w:numPr>
      </w:pPr>
      <w:r>
        <w:t>LGBTIQ+ status</w:t>
      </w:r>
    </w:p>
    <w:p w14:paraId="62ADDE48" w14:textId="03D7AB2F" w:rsidR="00B57043" w:rsidRDefault="00B57043" w:rsidP="00B57043">
      <w:pPr>
        <w:pStyle w:val="ListParagraph"/>
        <w:numPr>
          <w:ilvl w:val="0"/>
          <w:numId w:val="17"/>
        </w:numPr>
      </w:pPr>
      <w:r>
        <w:t>Race</w:t>
      </w:r>
    </w:p>
    <w:p w14:paraId="1FD0435B" w14:textId="2ECAE7A5" w:rsidR="00820BBE" w:rsidRPr="0059218B" w:rsidRDefault="00B57043" w:rsidP="00B57043">
      <w:pPr>
        <w:pStyle w:val="ListParagraph"/>
        <w:numPr>
          <w:ilvl w:val="0"/>
          <w:numId w:val="17"/>
        </w:numPr>
      </w:pPr>
      <w:r>
        <w:t>Religion</w:t>
      </w:r>
    </w:p>
    <w:p w14:paraId="2FCFE843" w14:textId="77777777" w:rsidR="00934F46" w:rsidRPr="0059218B" w:rsidRDefault="00934F46">
      <w:pPr>
        <w:rPr>
          <w:rFonts w:asciiTheme="majorHAnsi" w:eastAsiaTheme="majorEastAsia" w:hAnsiTheme="majorHAnsi" w:cstheme="majorBidi"/>
          <w:b/>
          <w:bCs/>
          <w:color w:val="0F4761" w:themeColor="accent1" w:themeShade="BF"/>
          <w:sz w:val="32"/>
          <w:szCs w:val="32"/>
        </w:rPr>
      </w:pPr>
      <w:r w:rsidRPr="0059218B">
        <w:br w:type="page"/>
      </w:r>
    </w:p>
    <w:p w14:paraId="24F43337" w14:textId="131FC692" w:rsidR="007B0F48" w:rsidRPr="00B57043" w:rsidRDefault="00C84F67" w:rsidP="00B57043">
      <w:pPr>
        <w:pStyle w:val="Heading2"/>
        <w:rPr>
          <w:szCs w:val="36"/>
        </w:rPr>
      </w:pPr>
      <w:bookmarkStart w:id="13" w:name="_Toc193468424"/>
      <w:r w:rsidRPr="0059218B">
        <w:t>S</w:t>
      </w:r>
      <w:r w:rsidR="007B0F48" w:rsidRPr="0059218B">
        <w:t>TEP 4:</w:t>
      </w:r>
      <w:r w:rsidRPr="0059218B">
        <w:t xml:space="preserve"> </w:t>
      </w:r>
      <w:r w:rsidR="00820BBE" w:rsidRPr="0059218B">
        <w:t>Report</w:t>
      </w:r>
      <w:bookmarkEnd w:id="13"/>
    </w:p>
    <w:p w14:paraId="6231EDB0" w14:textId="44FEA7D1" w:rsidR="00063239" w:rsidRPr="0059218B" w:rsidRDefault="00063239" w:rsidP="00B57043">
      <w:pPr>
        <w:pStyle w:val="Heading3"/>
      </w:pPr>
      <w:r>
        <w:t xml:space="preserve">Share and </w:t>
      </w:r>
      <w:r w:rsidR="009147F8">
        <w:t xml:space="preserve">report on your </w:t>
      </w:r>
      <w:r w:rsidR="009147F8" w:rsidRPr="00B57043">
        <w:t>findings</w:t>
      </w:r>
      <w:r w:rsidR="009147F8">
        <w:t xml:space="preserve"> </w:t>
      </w:r>
    </w:p>
    <w:p w14:paraId="3A362AA3" w14:textId="028B3420" w:rsidR="0021302E" w:rsidRPr="0059218B" w:rsidRDefault="150B919F" w:rsidP="0021302E">
      <w:r w:rsidRPr="41ED6CC6">
        <w:rPr>
          <w:b/>
          <w:bCs/>
        </w:rPr>
        <w:t xml:space="preserve">Why? </w:t>
      </w:r>
      <w:r w:rsidRPr="41ED6CC6">
        <w:t xml:space="preserve">Employees have higher confidence in D&amp;I data collection when they can see that their information is being used to improve diversity and inclusion outcomes and that their privacy is protected. Timely and meaningful reporting can also lead to higher response rates in future. If we don’t report D&amp;I data findings effectively, we might instead face </w:t>
      </w:r>
      <w:r w:rsidR="00EE47B8">
        <w:t>employee</w:t>
      </w:r>
      <w:r w:rsidR="00EE47B8" w:rsidRPr="41ED6CC6">
        <w:t xml:space="preserve"> </w:t>
      </w:r>
      <w:r w:rsidRPr="41ED6CC6">
        <w:t xml:space="preserve">cynicism about surveys, low self-reporting in HR information systems, low engagement in D&amp;I initiatives, and reluctance to participate in future initiatives. </w:t>
      </w:r>
    </w:p>
    <w:p w14:paraId="4789D83E" w14:textId="50B13935" w:rsidR="00D573A7" w:rsidRPr="0059218B" w:rsidRDefault="150B919F" w:rsidP="0021302E">
      <w:r w:rsidRPr="41ED6CC6">
        <w:rPr>
          <w:b/>
          <w:bCs/>
        </w:rPr>
        <w:t xml:space="preserve">How? </w:t>
      </w:r>
      <w:r w:rsidRPr="41ED6CC6">
        <w:t xml:space="preserve">Report on D&amp;I data findings to employees in a timely fashion and let them know what actions you will take to respond to the information they provided. Remember to always report at the overall (aggregated) level – the diversity of your workforce overall. Never report on individual employees or on teams when doing so might breach employee confidentiality. </w:t>
      </w:r>
    </w:p>
    <w:p w14:paraId="4B0E93B1" w14:textId="22EDF5AC" w:rsidR="0021302E" w:rsidRPr="0059218B" w:rsidRDefault="150B919F" w:rsidP="41ED6CC6">
      <w:pPr>
        <w:rPr>
          <w:b/>
          <w:bCs/>
        </w:rPr>
      </w:pPr>
      <w:r w:rsidRPr="41ED6CC6">
        <w:t xml:space="preserve">Organisations that have participated in DCA’s Inclusive Employer Index have reported their index results in several ways: </w:t>
      </w:r>
    </w:p>
    <w:p w14:paraId="0944DD66" w14:textId="77A9CC87" w:rsidR="0021302E" w:rsidRPr="0059218B" w:rsidRDefault="0021302E" w:rsidP="00337E92">
      <w:pPr>
        <w:pStyle w:val="ListParagraph"/>
        <w:numPr>
          <w:ilvl w:val="0"/>
          <w:numId w:val="19"/>
        </w:numPr>
        <w:ind w:left="714" w:hanging="357"/>
        <w:contextualSpacing w:val="0"/>
      </w:pPr>
      <w:r w:rsidRPr="0059218B">
        <w:rPr>
          <w:b/>
          <w:bCs/>
        </w:rPr>
        <w:t xml:space="preserve">Sharing a 1-page </w:t>
      </w:r>
      <w:r w:rsidR="00E266A4">
        <w:rPr>
          <w:b/>
          <w:bCs/>
        </w:rPr>
        <w:t>d</w:t>
      </w:r>
      <w:r w:rsidR="00035782" w:rsidRPr="0059218B">
        <w:rPr>
          <w:b/>
          <w:bCs/>
        </w:rPr>
        <w:t xml:space="preserve">iversity </w:t>
      </w:r>
      <w:r w:rsidR="00E266A4">
        <w:rPr>
          <w:b/>
          <w:bCs/>
        </w:rPr>
        <w:t>i</w:t>
      </w:r>
      <w:r w:rsidRPr="0059218B">
        <w:rPr>
          <w:b/>
          <w:bCs/>
        </w:rPr>
        <w:t>nfographic</w:t>
      </w:r>
      <w:r w:rsidRPr="0059218B">
        <w:t xml:space="preserve"> to all employees showing the diversity of the workforce, including how this compares with diversity in the working population or in the community </w:t>
      </w:r>
      <w:r w:rsidR="00273DC6" w:rsidRPr="0059218B">
        <w:t>(see example on next page).</w:t>
      </w:r>
    </w:p>
    <w:p w14:paraId="1B6755AB" w14:textId="4CBBF913" w:rsidR="0021302E" w:rsidRPr="0059218B" w:rsidRDefault="0021302E" w:rsidP="00337E92">
      <w:pPr>
        <w:pStyle w:val="ListParagraph"/>
        <w:numPr>
          <w:ilvl w:val="0"/>
          <w:numId w:val="19"/>
        </w:numPr>
        <w:ind w:left="714" w:hanging="357"/>
        <w:contextualSpacing w:val="0"/>
      </w:pPr>
      <w:r w:rsidRPr="0059218B">
        <w:rPr>
          <w:b/>
          <w:bCs/>
        </w:rPr>
        <w:t xml:space="preserve">Sharing a 2-page </w:t>
      </w:r>
      <w:r w:rsidR="003E0B35" w:rsidRPr="0059218B">
        <w:rPr>
          <w:b/>
          <w:bCs/>
        </w:rPr>
        <w:t xml:space="preserve">D&amp;I </w:t>
      </w:r>
      <w:r w:rsidR="00E266A4">
        <w:rPr>
          <w:b/>
          <w:bCs/>
        </w:rPr>
        <w:t>i</w:t>
      </w:r>
      <w:r w:rsidRPr="0059218B">
        <w:rPr>
          <w:b/>
          <w:bCs/>
        </w:rPr>
        <w:t xml:space="preserve">nfographic </w:t>
      </w:r>
      <w:r w:rsidRPr="0059218B">
        <w:t xml:space="preserve">to all employees showing the diversity of the workforce, along with inclusion areas </w:t>
      </w:r>
      <w:r w:rsidR="00E266A4">
        <w:t xml:space="preserve">where </w:t>
      </w:r>
      <w:r w:rsidRPr="0059218B">
        <w:t xml:space="preserve">you are doing well and inclusion areas </w:t>
      </w:r>
      <w:r w:rsidR="00E266A4">
        <w:t>that</w:t>
      </w:r>
      <w:r w:rsidR="00E266A4" w:rsidRPr="0059218B">
        <w:t xml:space="preserve"> </w:t>
      </w:r>
      <w:r w:rsidR="0074100B" w:rsidRPr="0059218B">
        <w:t xml:space="preserve">are </w:t>
      </w:r>
      <w:r w:rsidR="00216A3A" w:rsidRPr="0059218B">
        <w:t>o</w:t>
      </w:r>
      <w:r w:rsidRPr="0059218B">
        <w:t>pportunit</w:t>
      </w:r>
      <w:r w:rsidR="0074100B" w:rsidRPr="0059218B">
        <w:t>ies to focus on</w:t>
      </w:r>
      <w:r w:rsidR="00273DC6" w:rsidRPr="0059218B">
        <w:t>.</w:t>
      </w:r>
    </w:p>
    <w:p w14:paraId="64B43BAE" w14:textId="758F4F96" w:rsidR="0021302E" w:rsidRPr="0059218B" w:rsidRDefault="150B919F" w:rsidP="150B919F">
      <w:pPr>
        <w:pStyle w:val="ListParagraph"/>
        <w:numPr>
          <w:ilvl w:val="0"/>
          <w:numId w:val="19"/>
        </w:numPr>
        <w:ind w:left="714" w:hanging="357"/>
      </w:pPr>
      <w:r w:rsidRPr="41ED6CC6">
        <w:rPr>
          <w:b/>
          <w:bCs/>
        </w:rPr>
        <w:t>Creating a briefing paper</w:t>
      </w:r>
      <w:r w:rsidRPr="41ED6CC6">
        <w:t xml:space="preserve"> with the results, strengths and areas of opportunity, to share with management, D&amp;I council members and employee network groups.</w:t>
      </w:r>
    </w:p>
    <w:p w14:paraId="661EA8A2" w14:textId="2C9F3E2D" w:rsidR="0021302E" w:rsidRDefault="150B919F" w:rsidP="150B919F">
      <w:pPr>
        <w:pStyle w:val="ListParagraph"/>
        <w:numPr>
          <w:ilvl w:val="0"/>
          <w:numId w:val="19"/>
        </w:numPr>
        <w:ind w:left="714" w:hanging="357"/>
      </w:pPr>
      <w:r w:rsidRPr="41ED6CC6">
        <w:rPr>
          <w:b/>
          <w:bCs/>
        </w:rPr>
        <w:t>Publicly sharing your workforce diversity demographics</w:t>
      </w:r>
      <w:r w:rsidRPr="41ED6CC6">
        <w:t xml:space="preserve"> through, for example, the intranet, the website and annual reports. </w:t>
      </w:r>
    </w:p>
    <w:p w14:paraId="1E9FD2F1" w14:textId="4A274A0B" w:rsidR="00B57043" w:rsidRDefault="00B57043" w:rsidP="00B57043">
      <w:pPr>
        <w:pStyle w:val="Heading4"/>
      </w:pPr>
      <w:r>
        <w:t>Leading practice: Reporting on your diversity publicly.</w:t>
      </w:r>
    </w:p>
    <w:p w14:paraId="73A47563" w14:textId="317D4947" w:rsidR="00B57043" w:rsidRDefault="00B57043" w:rsidP="00B57043">
      <w:r w:rsidRPr="150B919F">
        <w:t xml:space="preserve">DCA has been collecting and publicly reporting data on the diversity of our workforce for several years. See examples of how we report about our workforce diversity on our </w:t>
      </w:r>
      <w:hyperlink r:id="rId24">
        <w:r w:rsidRPr="150B919F">
          <w:rPr>
            <w:rStyle w:val="Hyperlink"/>
          </w:rPr>
          <w:t>Work with Us</w:t>
        </w:r>
      </w:hyperlink>
      <w:r w:rsidRPr="150B919F">
        <w:t xml:space="preserve"> page and in our </w:t>
      </w:r>
      <w:r>
        <w:t xml:space="preserve">most recent </w:t>
      </w:r>
      <w:hyperlink r:id="rId25">
        <w:r w:rsidRPr="150B919F">
          <w:rPr>
            <w:rStyle w:val="Hyperlink"/>
          </w:rPr>
          <w:t>Annual Report</w:t>
        </w:r>
      </w:hyperlink>
      <w:r w:rsidRPr="150B919F">
        <w:t>.</w:t>
      </w:r>
    </w:p>
    <w:p w14:paraId="21AFDCFD" w14:textId="284C5AFD" w:rsidR="00EF5B59" w:rsidRDefault="00EF5B59" w:rsidP="00EF5B59">
      <w:pPr>
        <w:pStyle w:val="Heading4"/>
      </w:pPr>
      <w:r>
        <w:t>Leading practice</w:t>
      </w:r>
      <w:r w:rsidR="00C90A07">
        <w:t xml:space="preserve"> example</w:t>
      </w:r>
      <w:r>
        <w:t>: Our diversity – what you told us</w:t>
      </w:r>
    </w:p>
    <w:p w14:paraId="6D109343" w14:textId="4457C0DB" w:rsidR="00C90A07" w:rsidRDefault="00C90A07" w:rsidP="00C90A07">
      <w:r>
        <w:t>Staff Diversity 2024</w:t>
      </w:r>
    </w:p>
    <w:p w14:paraId="78F88999" w14:textId="624D8135" w:rsidR="009733EF" w:rsidRDefault="009733EF" w:rsidP="009733EF">
      <w:pPr>
        <w:pStyle w:val="ListParagraph"/>
        <w:numPr>
          <w:ilvl w:val="0"/>
          <w:numId w:val="19"/>
        </w:numPr>
      </w:pPr>
      <w:r>
        <w:t>Aboriginal and/or Torres Strait Islander: 4% of our team identify as being an Aboriginal and/or Torres Strait Islander person</w:t>
      </w:r>
    </w:p>
    <w:p w14:paraId="2D98E72F" w14:textId="0BFD0976" w:rsidR="009733EF" w:rsidRDefault="009733EF" w:rsidP="009733EF">
      <w:pPr>
        <w:pStyle w:val="ListParagraph"/>
        <w:numPr>
          <w:ilvl w:val="0"/>
          <w:numId w:val="19"/>
        </w:numPr>
      </w:pPr>
      <w:r>
        <w:t>Non-Main English-speaking background: 67% of our team report having one or more non-English speaking cultural backgrounds</w:t>
      </w:r>
    </w:p>
    <w:p w14:paraId="1155BFD2" w14:textId="07D69803" w:rsidR="009733EF" w:rsidRDefault="009733EF" w:rsidP="009733EF">
      <w:pPr>
        <w:pStyle w:val="ListParagraph"/>
        <w:numPr>
          <w:ilvl w:val="0"/>
          <w:numId w:val="19"/>
        </w:numPr>
      </w:pPr>
      <w:r>
        <w:t>Culturally and Racially Marginalised (CARM)</w:t>
      </w:r>
      <w:r w:rsidR="006A6C13">
        <w:t>*</w:t>
      </w:r>
      <w:r>
        <w:t>: 36% of our team are a person from a culturally and racially marginalised group</w:t>
      </w:r>
    </w:p>
    <w:p w14:paraId="1ACFD402" w14:textId="5A181D7E" w:rsidR="009733EF" w:rsidRDefault="009733EF" w:rsidP="009733EF">
      <w:pPr>
        <w:pStyle w:val="ListParagraph"/>
        <w:numPr>
          <w:ilvl w:val="0"/>
          <w:numId w:val="19"/>
        </w:numPr>
      </w:pPr>
      <w:r>
        <w:t>Culturally and linguistically diverse (CALD)</w:t>
      </w:r>
      <w:r w:rsidR="006A6C13">
        <w:t>**</w:t>
      </w:r>
      <w:r>
        <w:t>: 33% of our team are a culturally and linguistically diverse person.</w:t>
      </w:r>
    </w:p>
    <w:p w14:paraId="0379ED99" w14:textId="5AC1774B" w:rsidR="009733EF" w:rsidRDefault="009733EF" w:rsidP="009733EF">
      <w:pPr>
        <w:pStyle w:val="ListParagraph"/>
        <w:numPr>
          <w:ilvl w:val="0"/>
          <w:numId w:val="19"/>
        </w:numPr>
      </w:pPr>
      <w:r>
        <w:t>Multilingual: 56% of our team are multilingual</w:t>
      </w:r>
    </w:p>
    <w:p w14:paraId="64BA8633" w14:textId="4832AB50" w:rsidR="009733EF" w:rsidRDefault="009733EF" w:rsidP="009733EF">
      <w:pPr>
        <w:pStyle w:val="ListParagraph"/>
        <w:numPr>
          <w:ilvl w:val="0"/>
          <w:numId w:val="19"/>
        </w:numPr>
      </w:pPr>
      <w:r>
        <w:t>Born overseas: 33% of our team were born overseas</w:t>
      </w:r>
    </w:p>
    <w:p w14:paraId="0F77C001" w14:textId="1A52B801" w:rsidR="009733EF" w:rsidRDefault="006A2798" w:rsidP="009733EF">
      <w:pPr>
        <w:pStyle w:val="ListParagraph"/>
        <w:numPr>
          <w:ilvl w:val="0"/>
          <w:numId w:val="19"/>
        </w:numPr>
      </w:pPr>
      <w:r>
        <w:t>Non-Christian religion: 26% of our team have a non-Christian religious affiliation</w:t>
      </w:r>
    </w:p>
    <w:p w14:paraId="57C0E1C7" w14:textId="02830F3D" w:rsidR="006A2798" w:rsidRDefault="006A2798" w:rsidP="009733EF">
      <w:pPr>
        <w:pStyle w:val="ListParagraph"/>
        <w:numPr>
          <w:ilvl w:val="0"/>
          <w:numId w:val="19"/>
        </w:numPr>
      </w:pPr>
      <w:r>
        <w:t>Christian religion: 19% of our team have a Christian religious affiliation</w:t>
      </w:r>
    </w:p>
    <w:p w14:paraId="220FBC52" w14:textId="0EDC4050" w:rsidR="006A2798" w:rsidRDefault="006A2798" w:rsidP="009733EF">
      <w:pPr>
        <w:pStyle w:val="ListParagraph"/>
        <w:numPr>
          <w:ilvl w:val="0"/>
          <w:numId w:val="19"/>
        </w:numPr>
      </w:pPr>
      <w:r>
        <w:t>Caring responsibilities: 48% of our team have caring responsibilities</w:t>
      </w:r>
    </w:p>
    <w:p w14:paraId="5EA50367" w14:textId="7EA3B485" w:rsidR="006A2798" w:rsidRDefault="00F30952" w:rsidP="009733EF">
      <w:pPr>
        <w:pStyle w:val="ListParagraph"/>
        <w:numPr>
          <w:ilvl w:val="0"/>
          <w:numId w:val="19"/>
        </w:numPr>
      </w:pPr>
      <w:r>
        <w:t>With disability: 26% of our team have a disability</w:t>
      </w:r>
    </w:p>
    <w:p w14:paraId="3C5F9E02" w14:textId="54715D83" w:rsidR="00F30952" w:rsidRDefault="00F30952" w:rsidP="009733EF">
      <w:pPr>
        <w:pStyle w:val="ListParagraph"/>
        <w:numPr>
          <w:ilvl w:val="0"/>
          <w:numId w:val="19"/>
        </w:numPr>
      </w:pPr>
      <w:r>
        <w:t>Younger workers: 11% of our team are under 30</w:t>
      </w:r>
    </w:p>
    <w:p w14:paraId="75874F0B" w14:textId="138CBC99" w:rsidR="00F30952" w:rsidRDefault="00F30952" w:rsidP="009733EF">
      <w:pPr>
        <w:pStyle w:val="ListParagraph"/>
        <w:numPr>
          <w:ilvl w:val="0"/>
          <w:numId w:val="19"/>
        </w:numPr>
      </w:pPr>
      <w:r>
        <w:t>Older workers: 19% of our team are over 55</w:t>
      </w:r>
    </w:p>
    <w:p w14:paraId="738A3FAA" w14:textId="330FA35D" w:rsidR="00F30952" w:rsidRDefault="00F30952" w:rsidP="009733EF">
      <w:pPr>
        <w:pStyle w:val="ListParagraph"/>
        <w:numPr>
          <w:ilvl w:val="0"/>
          <w:numId w:val="19"/>
        </w:numPr>
      </w:pPr>
      <w:r>
        <w:t>LGBTIQ+: 33% of our team describe themselves as LGBTIQ+</w:t>
      </w:r>
    </w:p>
    <w:p w14:paraId="74AE8DC9" w14:textId="7BE39667" w:rsidR="00F30952" w:rsidRDefault="00F30952" w:rsidP="009733EF">
      <w:pPr>
        <w:pStyle w:val="ListParagraph"/>
        <w:numPr>
          <w:ilvl w:val="0"/>
          <w:numId w:val="19"/>
        </w:numPr>
      </w:pPr>
      <w:r>
        <w:t>Women: 81% of our team describe their gender as a woman</w:t>
      </w:r>
    </w:p>
    <w:p w14:paraId="23059F5F" w14:textId="4AE731C6" w:rsidR="00F30952" w:rsidRDefault="00F30952" w:rsidP="009733EF">
      <w:pPr>
        <w:pStyle w:val="ListParagraph"/>
        <w:numPr>
          <w:ilvl w:val="0"/>
          <w:numId w:val="19"/>
        </w:numPr>
      </w:pPr>
      <w:r>
        <w:t>Men: 11% of our team describe their gender as a man</w:t>
      </w:r>
    </w:p>
    <w:p w14:paraId="5601B592" w14:textId="43BD1623" w:rsidR="00F30952" w:rsidRDefault="00F30952" w:rsidP="009733EF">
      <w:pPr>
        <w:pStyle w:val="ListParagraph"/>
        <w:numPr>
          <w:ilvl w:val="0"/>
          <w:numId w:val="19"/>
        </w:numPr>
      </w:pPr>
      <w:r>
        <w:t>Non-binary: 4% of our team describe their gender as non-binary.</w:t>
      </w:r>
    </w:p>
    <w:p w14:paraId="2E316851" w14:textId="2AB301CB" w:rsidR="006A6C13" w:rsidRDefault="006A6C13" w:rsidP="006A6C13">
      <w:r>
        <w:t xml:space="preserve">*Culturally and racially marginalised (CARM) </w:t>
      </w:r>
      <w:r w:rsidRPr="006A6C13">
        <w:t>people in Australia are people who are typically racialised as Black, Brown, Asian, or any non-white group, who face discrimination or marginalisation due to their race and/or racialised religion.</w:t>
      </w:r>
    </w:p>
    <w:p w14:paraId="7A0EF10E" w14:textId="34EF9A5E" w:rsidR="00273DC6" w:rsidRPr="0059218B" w:rsidRDefault="006A6C13" w:rsidP="00273DC6">
      <w:r>
        <w:t>**</w:t>
      </w:r>
      <w:r w:rsidRPr="006A6C13">
        <w:t>Culturally and linguistically diverse (CALD) is a much broader category than CARM, as it includes people who are typically racialised as white, are from a non-Anglo Celtic cultural background, and may not use English as their main language (themselves, their parents, or ancestors). For example, a Ukrainian migrant or someone who is born in Australia from Ukrainian parents.</w:t>
      </w:r>
    </w:p>
    <w:p w14:paraId="1992A726" w14:textId="285B7F72" w:rsidR="001122F8" w:rsidRPr="00824431" w:rsidRDefault="001122F8" w:rsidP="00490248">
      <w:pPr>
        <w:pStyle w:val="Heading3"/>
      </w:pPr>
      <w:r w:rsidRPr="00824431">
        <w:t>Report on your diversity dimensions</w:t>
      </w:r>
    </w:p>
    <w:p w14:paraId="45289D9A" w14:textId="6869E64C" w:rsidR="001336D4" w:rsidRPr="0059218B" w:rsidRDefault="001336D4" w:rsidP="00490248">
      <w:pPr>
        <w:pStyle w:val="Heading4"/>
      </w:pPr>
      <w:r w:rsidRPr="0059218B">
        <w:t xml:space="preserve">Reporting on Aboriginal and Torres Strait Islander </w:t>
      </w:r>
      <w:r w:rsidR="00F725A0" w:rsidRPr="0059218B">
        <w:t>i</w:t>
      </w:r>
      <w:r w:rsidR="00382E45" w:rsidRPr="0059218B">
        <w:t xml:space="preserve">dentity </w:t>
      </w:r>
    </w:p>
    <w:p w14:paraId="38B1452A" w14:textId="7206D8EA" w:rsidR="00FB0E32" w:rsidRPr="0059218B" w:rsidRDefault="150B919F" w:rsidP="41ED6CC6">
      <w:r w:rsidRPr="41ED6CC6">
        <w:t xml:space="preserve">Organisations usually report on Aboriginal and/or Torres Strait Islander identity as a combined percentage, such as “3.2% of our workforce are Aboriginal and/or Torres Strait Islander”.  Before you report internally or externally, make sure the way you are reporting does not enable individual employees to be identified. This can be psychologically and culturally unsafe.  </w:t>
      </w:r>
    </w:p>
    <w:p w14:paraId="704E7D1A" w14:textId="507D85FB" w:rsidR="001336D4" w:rsidRPr="0059218B" w:rsidRDefault="00BC35A5" w:rsidP="00490248">
      <w:pPr>
        <w:pStyle w:val="Heading4"/>
      </w:pPr>
      <w:r w:rsidRPr="0059218B">
        <w:t xml:space="preserve">Reporting on </w:t>
      </w:r>
      <w:r w:rsidR="00F725A0" w:rsidRPr="0059218B">
        <w:t>a</w:t>
      </w:r>
      <w:r w:rsidR="001336D4" w:rsidRPr="0059218B">
        <w:t xml:space="preserve">ge </w:t>
      </w:r>
    </w:p>
    <w:p w14:paraId="1E5BFE9F" w14:textId="53F40309" w:rsidR="00360DB4" w:rsidRPr="0059218B" w:rsidRDefault="00F54EC5" w:rsidP="0004627D">
      <w:pPr>
        <w:rPr>
          <w:szCs w:val="24"/>
        </w:rPr>
      </w:pPr>
      <w:r w:rsidRPr="0059218B">
        <w:rPr>
          <w:szCs w:val="24"/>
        </w:rPr>
        <w:t xml:space="preserve">Organisations typically report on </w:t>
      </w:r>
      <w:r w:rsidR="00EC5639" w:rsidRPr="0059218B">
        <w:rPr>
          <w:szCs w:val="24"/>
        </w:rPr>
        <w:t xml:space="preserve">workforce representation across younger and older </w:t>
      </w:r>
      <w:r w:rsidR="00360DB4" w:rsidRPr="0059218B">
        <w:rPr>
          <w:szCs w:val="24"/>
        </w:rPr>
        <w:t>age groups or the median age of their workforce</w:t>
      </w:r>
      <w:r w:rsidR="00EC5639" w:rsidRPr="0059218B">
        <w:rPr>
          <w:szCs w:val="24"/>
        </w:rPr>
        <w:t xml:space="preserve">. </w:t>
      </w:r>
      <w:r w:rsidR="00360DB4" w:rsidRPr="0059218B">
        <w:rPr>
          <w:szCs w:val="24"/>
        </w:rPr>
        <w:t>For example,</w:t>
      </w:r>
      <w:r w:rsidR="00367F2E">
        <w:rPr>
          <w:szCs w:val="24"/>
        </w:rPr>
        <w:t xml:space="preserve"> you might report that</w:t>
      </w:r>
      <w:r w:rsidR="00360DB4" w:rsidRPr="0059218B">
        <w:rPr>
          <w:szCs w:val="24"/>
        </w:rPr>
        <w:t xml:space="preserve"> “22% of our workforce </w:t>
      </w:r>
      <w:r w:rsidR="00367F2E">
        <w:rPr>
          <w:szCs w:val="24"/>
        </w:rPr>
        <w:t>is</w:t>
      </w:r>
      <w:r w:rsidR="00360DB4" w:rsidRPr="0059218B">
        <w:rPr>
          <w:szCs w:val="24"/>
        </w:rPr>
        <w:t xml:space="preserve"> </w:t>
      </w:r>
      <w:r w:rsidR="00F82A40" w:rsidRPr="0059218B">
        <w:rPr>
          <w:szCs w:val="24"/>
        </w:rPr>
        <w:t xml:space="preserve">under 30 and 18% </w:t>
      </w:r>
      <w:r w:rsidR="00367F2E">
        <w:rPr>
          <w:szCs w:val="24"/>
        </w:rPr>
        <w:t>is</w:t>
      </w:r>
      <w:r w:rsidR="00F82A40" w:rsidRPr="0059218B">
        <w:rPr>
          <w:szCs w:val="24"/>
        </w:rPr>
        <w:t xml:space="preserve"> </w:t>
      </w:r>
      <w:r w:rsidR="00360DB4" w:rsidRPr="0059218B">
        <w:rPr>
          <w:szCs w:val="24"/>
        </w:rPr>
        <w:t>over 55</w:t>
      </w:r>
      <w:r w:rsidR="00B30388">
        <w:rPr>
          <w:szCs w:val="24"/>
        </w:rPr>
        <w:t>”</w:t>
      </w:r>
      <w:r w:rsidR="00360DB4" w:rsidRPr="0059218B">
        <w:rPr>
          <w:szCs w:val="24"/>
        </w:rPr>
        <w:t xml:space="preserve"> or “the average age in our workforce is 46</w:t>
      </w:r>
      <w:r w:rsidR="00B30388">
        <w:rPr>
          <w:szCs w:val="24"/>
        </w:rPr>
        <w:t>”</w:t>
      </w:r>
      <w:r w:rsidR="00360DB4" w:rsidRPr="0059218B">
        <w:rPr>
          <w:szCs w:val="24"/>
        </w:rPr>
        <w:t xml:space="preserve">. </w:t>
      </w:r>
    </w:p>
    <w:p w14:paraId="150FAA8A" w14:textId="164D9389" w:rsidR="001336D4" w:rsidRPr="0059218B" w:rsidRDefault="00382E45" w:rsidP="00490248">
      <w:pPr>
        <w:pStyle w:val="Heading4"/>
      </w:pPr>
      <w:r w:rsidRPr="0059218B">
        <w:t xml:space="preserve">Reporting on </w:t>
      </w:r>
      <w:r w:rsidR="00F725A0" w:rsidRPr="0059218B">
        <w:t>c</w:t>
      </w:r>
      <w:r w:rsidR="001336D4" w:rsidRPr="0059218B">
        <w:t xml:space="preserve">aring </w:t>
      </w:r>
      <w:r w:rsidR="00F725A0" w:rsidRPr="0059218B">
        <w:t>r</w:t>
      </w:r>
      <w:r w:rsidR="001336D4" w:rsidRPr="0059218B">
        <w:t xml:space="preserve">esponsibilities </w:t>
      </w:r>
    </w:p>
    <w:p w14:paraId="0BE76C5A" w14:textId="3CDAEEA7" w:rsidR="00E36F41" w:rsidRPr="0059218B" w:rsidRDefault="001D39B0" w:rsidP="001D39B0">
      <w:r w:rsidRPr="0059218B">
        <w:t xml:space="preserve">Most organisations report on </w:t>
      </w:r>
      <w:r w:rsidR="002103E7" w:rsidRPr="0059218B">
        <w:t xml:space="preserve">the representation of employees with caring responsibilities combined, </w:t>
      </w:r>
      <w:r w:rsidR="00367F2E">
        <w:t>such as</w:t>
      </w:r>
      <w:r w:rsidR="002103E7" w:rsidRPr="0059218B">
        <w:t xml:space="preserve"> “52% of our </w:t>
      </w:r>
      <w:r w:rsidR="00367F2E">
        <w:t>employees</w:t>
      </w:r>
      <w:r w:rsidR="00367F2E" w:rsidRPr="0059218B">
        <w:t xml:space="preserve"> </w:t>
      </w:r>
      <w:r w:rsidR="002103E7" w:rsidRPr="0059218B">
        <w:t xml:space="preserve">have caring responsibilities”. Larger organisations may also </w:t>
      </w:r>
      <w:r w:rsidR="00E80D77" w:rsidRPr="0059218B">
        <w:t xml:space="preserve">provide more detail about </w:t>
      </w:r>
      <w:r w:rsidR="002103E7" w:rsidRPr="0059218B">
        <w:t xml:space="preserve">caring, </w:t>
      </w:r>
      <w:r w:rsidR="00367F2E">
        <w:t>such as</w:t>
      </w:r>
      <w:r w:rsidR="002103E7" w:rsidRPr="0059218B">
        <w:t xml:space="preserve"> “34%</w:t>
      </w:r>
      <w:r w:rsidR="00AB6DB3" w:rsidRPr="0059218B">
        <w:t xml:space="preserve"> of us</w:t>
      </w:r>
      <w:r w:rsidR="002103E7" w:rsidRPr="0059218B">
        <w:t xml:space="preserve"> are caring for children without disability, 12% </w:t>
      </w:r>
      <w:r w:rsidR="00367F2E">
        <w:t xml:space="preserve">are </w:t>
      </w:r>
      <w:r w:rsidR="002103E7" w:rsidRPr="0059218B">
        <w:t>caring for children with disability,</w:t>
      </w:r>
      <w:r w:rsidR="00367F2E">
        <w:t xml:space="preserve"> </w:t>
      </w:r>
      <w:r w:rsidR="002103E7" w:rsidRPr="0059218B">
        <w:t xml:space="preserve">18% are caring for adults without disability, and 7% are caring for adults with disability”. </w:t>
      </w:r>
    </w:p>
    <w:p w14:paraId="49A50076" w14:textId="1D1D696A" w:rsidR="00DD6B09" w:rsidRPr="0059218B" w:rsidRDefault="00382E45" w:rsidP="00490248">
      <w:pPr>
        <w:pStyle w:val="Heading5"/>
      </w:pPr>
      <w:r w:rsidRPr="0059218B">
        <w:t>Reporting on</w:t>
      </w:r>
      <w:r w:rsidRPr="001122F8">
        <w:t xml:space="preserve"> </w:t>
      </w:r>
      <w:r w:rsidR="00F725A0" w:rsidRPr="00824431">
        <w:rPr>
          <w:rStyle w:val="Heading2Char"/>
          <w:b w:val="0"/>
          <w:bCs w:val="0"/>
          <w:lang w:val="en-AU"/>
        </w:rPr>
        <w:t>c</w:t>
      </w:r>
      <w:r w:rsidR="00DD6B09" w:rsidRPr="00824431">
        <w:rPr>
          <w:rStyle w:val="Heading2Char"/>
          <w:b w:val="0"/>
          <w:bCs w:val="0"/>
          <w:lang w:val="en-AU"/>
        </w:rPr>
        <w:t>ultural</w:t>
      </w:r>
      <w:r w:rsidR="00DD6B09" w:rsidRPr="0059218B">
        <w:t xml:space="preserve"> </w:t>
      </w:r>
      <w:r w:rsidR="00F725A0" w:rsidRPr="0059218B">
        <w:t>d</w:t>
      </w:r>
      <w:r w:rsidR="00DD6B09" w:rsidRPr="0059218B">
        <w:t xml:space="preserve">iversity </w:t>
      </w:r>
    </w:p>
    <w:p w14:paraId="5B24D6B6" w14:textId="0197485B" w:rsidR="00B15717" w:rsidRPr="0059218B" w:rsidRDefault="00B15717" w:rsidP="00B15717">
      <w:r w:rsidRPr="41ED6CC6">
        <w:t>DCA defines cultural diversity as the mix of people from different cultural backgrounds. It can include differences in cultural/ethnic identity (how we identify ourselves and how others identify us), language, country of birth, religion, heritage/ancestry, national origin and race.</w:t>
      </w:r>
      <w:r w:rsidRPr="41ED6CC6">
        <w:rPr>
          <w:rStyle w:val="EndnoteReference"/>
        </w:rPr>
        <w:endnoteReference w:id="12"/>
      </w:r>
      <w:r w:rsidRPr="41ED6CC6">
        <w:t xml:space="preserve"> Accordingly, our </w:t>
      </w:r>
      <w:hyperlink r:id="rId26" w:history="1">
        <w:r w:rsidRPr="41ED6CC6">
          <w:rPr>
            <w:rStyle w:val="Hyperlink"/>
          </w:rPr>
          <w:t>Counting Culture</w:t>
        </w:r>
      </w:hyperlink>
      <w:r w:rsidRPr="41ED6CC6">
        <w:t xml:space="preserve"> research recommends</w:t>
      </w:r>
      <w:r w:rsidR="000F062A" w:rsidRPr="41ED6CC6">
        <w:t xml:space="preserve"> that</w:t>
      </w:r>
      <w:r w:rsidRPr="41ED6CC6">
        <w:t xml:space="preserve">, where possible, organisations </w:t>
      </w:r>
      <w:r w:rsidR="000F062A" w:rsidRPr="41ED6CC6">
        <w:t xml:space="preserve">collect </w:t>
      </w:r>
      <w:r w:rsidR="00B30388" w:rsidRPr="41ED6CC6">
        <w:t xml:space="preserve">data </w:t>
      </w:r>
      <w:r w:rsidR="000F062A" w:rsidRPr="41ED6CC6">
        <w:t xml:space="preserve">and report on </w:t>
      </w:r>
      <w:r w:rsidRPr="41ED6CC6">
        <w:t xml:space="preserve">more than one </w:t>
      </w:r>
      <w:r w:rsidR="000F062A" w:rsidRPr="41ED6CC6">
        <w:t>area</w:t>
      </w:r>
      <w:r w:rsidRPr="41ED6CC6">
        <w:t xml:space="preserve"> to measure cultural diversity. </w:t>
      </w:r>
    </w:p>
    <w:p w14:paraId="08E14750" w14:textId="7029D004" w:rsidR="002103E7" w:rsidRPr="0059218B" w:rsidRDefault="002103E7" w:rsidP="00337E92">
      <w:pPr>
        <w:pStyle w:val="ListParagraph"/>
        <w:numPr>
          <w:ilvl w:val="0"/>
          <w:numId w:val="25"/>
        </w:numPr>
        <w:ind w:left="714" w:hanging="357"/>
        <w:contextualSpacing w:val="0"/>
        <w:rPr>
          <w:szCs w:val="24"/>
        </w:rPr>
      </w:pPr>
      <w:r w:rsidRPr="0059218B">
        <w:rPr>
          <w:b/>
          <w:bCs/>
          <w:szCs w:val="24"/>
        </w:rPr>
        <w:t>Cultural background</w:t>
      </w:r>
      <w:r w:rsidR="00B45619" w:rsidRPr="0059218B">
        <w:rPr>
          <w:b/>
          <w:bCs/>
          <w:szCs w:val="24"/>
        </w:rPr>
        <w:t>.</w:t>
      </w:r>
      <w:r w:rsidR="00B45619" w:rsidRPr="0059218B">
        <w:rPr>
          <w:szCs w:val="24"/>
        </w:rPr>
        <w:t xml:space="preserve"> Organisations can report on how many </w:t>
      </w:r>
      <w:r w:rsidR="0020286B" w:rsidRPr="0059218B">
        <w:rPr>
          <w:szCs w:val="24"/>
        </w:rPr>
        <w:t>cultural backgrounds are represented in their workforce</w:t>
      </w:r>
      <w:r w:rsidR="008255AE" w:rsidRPr="0059218B">
        <w:rPr>
          <w:szCs w:val="24"/>
        </w:rPr>
        <w:t xml:space="preserve">, </w:t>
      </w:r>
      <w:r w:rsidR="00367F2E">
        <w:rPr>
          <w:szCs w:val="24"/>
        </w:rPr>
        <w:t>such as</w:t>
      </w:r>
      <w:r w:rsidR="0020286B" w:rsidRPr="0059218B">
        <w:rPr>
          <w:szCs w:val="24"/>
        </w:rPr>
        <w:t xml:space="preserve"> “Our employees represent 45 different cultural backgrounds”. </w:t>
      </w:r>
      <w:r w:rsidR="00B5737E" w:rsidRPr="0059218B">
        <w:rPr>
          <w:szCs w:val="24"/>
        </w:rPr>
        <w:t xml:space="preserve">Some organisations might also report on </w:t>
      </w:r>
      <w:r w:rsidR="008255AE" w:rsidRPr="0059218B">
        <w:rPr>
          <w:szCs w:val="24"/>
        </w:rPr>
        <w:t>how many of their employees have one or more non-</w:t>
      </w:r>
      <w:r w:rsidR="00367F2E">
        <w:rPr>
          <w:szCs w:val="24"/>
        </w:rPr>
        <w:t>m</w:t>
      </w:r>
      <w:r w:rsidR="008255AE" w:rsidRPr="0059218B">
        <w:rPr>
          <w:szCs w:val="24"/>
        </w:rPr>
        <w:t>ain English</w:t>
      </w:r>
      <w:r w:rsidR="00367F2E">
        <w:rPr>
          <w:szCs w:val="24"/>
        </w:rPr>
        <w:t>-</w:t>
      </w:r>
      <w:r w:rsidR="008255AE" w:rsidRPr="0059218B">
        <w:rPr>
          <w:szCs w:val="24"/>
        </w:rPr>
        <w:t>speaking backgrounds</w:t>
      </w:r>
      <w:r w:rsidR="0098084E">
        <w:rPr>
          <w:szCs w:val="24"/>
        </w:rPr>
        <w:t xml:space="preserve"> – f</w:t>
      </w:r>
      <w:r w:rsidR="00B34033" w:rsidRPr="0059218B">
        <w:rPr>
          <w:szCs w:val="24"/>
        </w:rPr>
        <w:t xml:space="preserve">or example, “67% of our team </w:t>
      </w:r>
      <w:r w:rsidR="00367F2E">
        <w:rPr>
          <w:szCs w:val="24"/>
        </w:rPr>
        <w:t xml:space="preserve">members </w:t>
      </w:r>
      <w:r w:rsidR="00B34033" w:rsidRPr="0059218B">
        <w:rPr>
          <w:szCs w:val="24"/>
        </w:rPr>
        <w:t>have one or more non-English</w:t>
      </w:r>
      <w:r w:rsidR="00367F2E">
        <w:rPr>
          <w:szCs w:val="24"/>
        </w:rPr>
        <w:t>-</w:t>
      </w:r>
      <w:r w:rsidR="00B34033" w:rsidRPr="0059218B">
        <w:rPr>
          <w:szCs w:val="24"/>
        </w:rPr>
        <w:t xml:space="preserve">speaking cultural backgrounds”. </w:t>
      </w:r>
    </w:p>
    <w:p w14:paraId="3CE7EF3D" w14:textId="4EDAA618" w:rsidR="002103E7" w:rsidRPr="0059218B" w:rsidRDefault="002103E7" w:rsidP="00337E92">
      <w:pPr>
        <w:pStyle w:val="ListParagraph"/>
        <w:numPr>
          <w:ilvl w:val="0"/>
          <w:numId w:val="25"/>
        </w:numPr>
        <w:ind w:left="714" w:hanging="357"/>
        <w:contextualSpacing w:val="0"/>
        <w:rPr>
          <w:szCs w:val="24"/>
        </w:rPr>
      </w:pPr>
      <w:r w:rsidRPr="0059218B">
        <w:rPr>
          <w:b/>
          <w:bCs/>
          <w:szCs w:val="24"/>
        </w:rPr>
        <w:t>Languages</w:t>
      </w:r>
      <w:r w:rsidR="00991375" w:rsidRPr="0059218B">
        <w:rPr>
          <w:b/>
          <w:bCs/>
          <w:szCs w:val="24"/>
        </w:rPr>
        <w:t>.</w:t>
      </w:r>
      <w:r w:rsidR="00991375" w:rsidRPr="0059218B">
        <w:rPr>
          <w:szCs w:val="24"/>
        </w:rPr>
        <w:t xml:space="preserve"> Using the Counting </w:t>
      </w:r>
      <w:r w:rsidR="00F019CD" w:rsidRPr="0059218B">
        <w:rPr>
          <w:szCs w:val="24"/>
        </w:rPr>
        <w:t>Culture approach</w:t>
      </w:r>
      <w:r w:rsidR="009D3603" w:rsidRPr="0059218B">
        <w:rPr>
          <w:szCs w:val="24"/>
        </w:rPr>
        <w:t xml:space="preserve">, organisations can report on </w:t>
      </w:r>
      <w:r w:rsidR="00F444BE" w:rsidRPr="0059218B">
        <w:rPr>
          <w:szCs w:val="24"/>
        </w:rPr>
        <w:t>the percentage of their workforce that is multilingual, as well as how many languages their employees are multilingual in</w:t>
      </w:r>
      <w:r w:rsidR="00367F2E">
        <w:rPr>
          <w:szCs w:val="24"/>
        </w:rPr>
        <w:t xml:space="preserve"> – f</w:t>
      </w:r>
      <w:r w:rsidR="00F444BE" w:rsidRPr="0059218B">
        <w:rPr>
          <w:szCs w:val="24"/>
        </w:rPr>
        <w:t>or example, “62% of us are multilingual across 42 languages”. Some organisations also list the most common languages spoken</w:t>
      </w:r>
      <w:r w:rsidR="00C24F38" w:rsidRPr="0059218B">
        <w:rPr>
          <w:szCs w:val="24"/>
        </w:rPr>
        <w:t xml:space="preserve"> in their workforce</w:t>
      </w:r>
      <w:r w:rsidR="00F444BE" w:rsidRPr="0059218B">
        <w:rPr>
          <w:szCs w:val="24"/>
        </w:rPr>
        <w:t xml:space="preserve">, </w:t>
      </w:r>
      <w:r w:rsidR="00367F2E">
        <w:rPr>
          <w:szCs w:val="24"/>
        </w:rPr>
        <w:t>such as</w:t>
      </w:r>
      <w:r w:rsidR="00F444BE" w:rsidRPr="0059218B">
        <w:rPr>
          <w:szCs w:val="24"/>
        </w:rPr>
        <w:t xml:space="preserve"> “</w:t>
      </w:r>
      <w:r w:rsidR="0098084E">
        <w:rPr>
          <w:szCs w:val="24"/>
        </w:rPr>
        <w:t>t</w:t>
      </w:r>
      <w:r w:rsidR="00F444BE" w:rsidRPr="0059218B">
        <w:rPr>
          <w:szCs w:val="24"/>
        </w:rPr>
        <w:t xml:space="preserve">he </w:t>
      </w:r>
      <w:r w:rsidR="001C3706" w:rsidRPr="0059218B">
        <w:rPr>
          <w:szCs w:val="24"/>
        </w:rPr>
        <w:t xml:space="preserve">5 most </w:t>
      </w:r>
      <w:r w:rsidR="00F444BE" w:rsidRPr="0059218B">
        <w:rPr>
          <w:szCs w:val="24"/>
        </w:rPr>
        <w:t xml:space="preserve">common languages </w:t>
      </w:r>
      <w:r w:rsidR="00AC1E0E" w:rsidRPr="0059218B">
        <w:rPr>
          <w:szCs w:val="24"/>
        </w:rPr>
        <w:t xml:space="preserve">we speak in addition to English are </w:t>
      </w:r>
      <w:r w:rsidR="00A861F6" w:rsidRPr="0059218B">
        <w:rPr>
          <w:szCs w:val="24"/>
        </w:rPr>
        <w:t>Mandarin,</w:t>
      </w:r>
      <w:r w:rsidR="001C3706" w:rsidRPr="0059218B">
        <w:rPr>
          <w:szCs w:val="24"/>
        </w:rPr>
        <w:t xml:space="preserve"> </w:t>
      </w:r>
      <w:r w:rsidR="0013078F" w:rsidRPr="0059218B">
        <w:rPr>
          <w:szCs w:val="24"/>
        </w:rPr>
        <w:t xml:space="preserve">Arabic, Vietnamese, Cantonese and Punjabi”. </w:t>
      </w:r>
    </w:p>
    <w:p w14:paraId="1A21671E" w14:textId="218B666F" w:rsidR="002103E7" w:rsidRPr="0059218B" w:rsidRDefault="002103E7" w:rsidP="00337E92">
      <w:pPr>
        <w:pStyle w:val="ListParagraph"/>
        <w:numPr>
          <w:ilvl w:val="0"/>
          <w:numId w:val="25"/>
        </w:numPr>
        <w:ind w:left="714" w:hanging="357"/>
        <w:contextualSpacing w:val="0"/>
        <w:rPr>
          <w:szCs w:val="24"/>
        </w:rPr>
      </w:pPr>
      <w:r w:rsidRPr="0059218B">
        <w:rPr>
          <w:b/>
          <w:bCs/>
          <w:szCs w:val="24"/>
        </w:rPr>
        <w:t>Country of birth</w:t>
      </w:r>
      <w:r w:rsidR="00E32BA0" w:rsidRPr="0059218B">
        <w:rPr>
          <w:b/>
          <w:bCs/>
          <w:szCs w:val="24"/>
        </w:rPr>
        <w:t>.</w:t>
      </w:r>
      <w:r w:rsidR="00E32BA0" w:rsidRPr="0059218B">
        <w:rPr>
          <w:szCs w:val="24"/>
        </w:rPr>
        <w:t xml:space="preserve"> At the broadest level, organisations </w:t>
      </w:r>
      <w:r w:rsidR="00BA7478" w:rsidRPr="0059218B">
        <w:rPr>
          <w:szCs w:val="24"/>
        </w:rPr>
        <w:t>can report on the percentage of their employees born overseas</w:t>
      </w:r>
      <w:r w:rsidR="00F664BE" w:rsidRPr="0059218B">
        <w:rPr>
          <w:szCs w:val="24"/>
        </w:rPr>
        <w:t>,</w:t>
      </w:r>
      <w:r w:rsidR="00855AEB" w:rsidRPr="0059218B">
        <w:rPr>
          <w:szCs w:val="24"/>
        </w:rPr>
        <w:t xml:space="preserve"> </w:t>
      </w:r>
      <w:r w:rsidR="0098084E">
        <w:rPr>
          <w:szCs w:val="24"/>
        </w:rPr>
        <w:t>such as</w:t>
      </w:r>
      <w:r w:rsidR="00855AEB" w:rsidRPr="0059218B">
        <w:rPr>
          <w:szCs w:val="24"/>
        </w:rPr>
        <w:t xml:space="preserve"> </w:t>
      </w:r>
      <w:r w:rsidR="001C2771" w:rsidRPr="0059218B">
        <w:rPr>
          <w:szCs w:val="24"/>
        </w:rPr>
        <w:t>“</w:t>
      </w:r>
      <w:r w:rsidR="00D05152" w:rsidRPr="0059218B">
        <w:rPr>
          <w:szCs w:val="24"/>
        </w:rPr>
        <w:t xml:space="preserve">42% of us were born overseas”. Some organisations also </w:t>
      </w:r>
      <w:r w:rsidR="00F664BE" w:rsidRPr="0059218B">
        <w:rPr>
          <w:szCs w:val="24"/>
        </w:rPr>
        <w:t>list the most common countries of birth</w:t>
      </w:r>
      <w:r w:rsidR="0098084E">
        <w:rPr>
          <w:szCs w:val="24"/>
        </w:rPr>
        <w:t xml:space="preserve"> – f</w:t>
      </w:r>
      <w:r w:rsidR="00F664BE" w:rsidRPr="0059218B">
        <w:rPr>
          <w:szCs w:val="24"/>
        </w:rPr>
        <w:t xml:space="preserve">or </w:t>
      </w:r>
      <w:r w:rsidR="00AD3B72" w:rsidRPr="0059218B">
        <w:rPr>
          <w:szCs w:val="24"/>
        </w:rPr>
        <w:t>example,</w:t>
      </w:r>
      <w:r w:rsidR="00F664BE" w:rsidRPr="0059218B">
        <w:rPr>
          <w:szCs w:val="24"/>
        </w:rPr>
        <w:t xml:space="preserve"> “the 5 most common countries of birth </w:t>
      </w:r>
      <w:r w:rsidR="009B7512" w:rsidRPr="0059218B">
        <w:rPr>
          <w:szCs w:val="24"/>
        </w:rPr>
        <w:t xml:space="preserve">reported were England, India, China, New Zealand and the Philippines”. </w:t>
      </w:r>
    </w:p>
    <w:p w14:paraId="5466C6D8" w14:textId="3CE7D5ED" w:rsidR="002103E7" w:rsidRPr="0059218B" w:rsidRDefault="150B919F" w:rsidP="150B919F">
      <w:pPr>
        <w:pStyle w:val="ListParagraph"/>
        <w:numPr>
          <w:ilvl w:val="0"/>
          <w:numId w:val="25"/>
        </w:numPr>
        <w:ind w:left="714" w:hanging="357"/>
      </w:pPr>
      <w:r w:rsidRPr="41ED6CC6">
        <w:rPr>
          <w:b/>
          <w:bCs/>
        </w:rPr>
        <w:t>Religious affiliation.</w:t>
      </w:r>
      <w:r w:rsidRPr="41ED6CC6">
        <w:t xml:space="preserve"> Using the Counting Culture approach, organisations can use the broadest level of workforce representation by reporting the percentages of employees who have a Christian religious affiliation, a non-Christian religious affiliation and no religion. For example, you might say “33% of our employees have a Christian religious affiliation, 14% have a non-Christian religious affiliation, and 53% do not have a religious affiliation. The most common religious affiliations after Christianity are Hinduism and Sikhism”. </w:t>
      </w:r>
    </w:p>
    <w:p w14:paraId="38A7CEAE" w14:textId="35BE99F6" w:rsidR="00DD6B09" w:rsidRPr="0059218B" w:rsidRDefault="00382E45" w:rsidP="00490248">
      <w:pPr>
        <w:pStyle w:val="Heading4"/>
      </w:pPr>
      <w:r w:rsidRPr="0059218B">
        <w:t xml:space="preserve">Reporting on </w:t>
      </w:r>
      <w:r w:rsidR="00BC7A7A" w:rsidRPr="0059218B">
        <w:t>d</w:t>
      </w:r>
      <w:r w:rsidR="00DD6B09" w:rsidRPr="0059218B">
        <w:t xml:space="preserve">isability </w:t>
      </w:r>
    </w:p>
    <w:p w14:paraId="3BE6C096" w14:textId="1618F2C1" w:rsidR="003833FA" w:rsidRPr="0059218B" w:rsidRDefault="00400A49" w:rsidP="003833FA">
      <w:r w:rsidRPr="0059218B">
        <w:t>Report on the percentage of your employees who identify as a person with disability</w:t>
      </w:r>
      <w:r w:rsidR="007F08C5">
        <w:t xml:space="preserve"> – f</w:t>
      </w:r>
      <w:r w:rsidRPr="0059218B">
        <w:t>or example, “9% of us identify as a person with disability</w:t>
      </w:r>
      <w:r w:rsidR="00F337F6" w:rsidRPr="0059218B">
        <w:t>.</w:t>
      </w:r>
      <w:r w:rsidRPr="0059218B">
        <w:t xml:space="preserve">”  </w:t>
      </w:r>
      <w:r w:rsidR="00963B72" w:rsidRPr="0059218B">
        <w:t xml:space="preserve">Avoid reporting on </w:t>
      </w:r>
      <w:r w:rsidR="00133A62" w:rsidRPr="0059218B">
        <w:t xml:space="preserve">disability representation </w:t>
      </w:r>
      <w:r w:rsidRPr="0059218B">
        <w:t>using</w:t>
      </w:r>
      <w:r w:rsidR="00133A62" w:rsidRPr="0059218B">
        <w:t xml:space="preserve"> a medical approach (i.e. reporting on </w:t>
      </w:r>
      <w:r w:rsidR="00B639DD" w:rsidRPr="0059218B">
        <w:t xml:space="preserve">types of disability). </w:t>
      </w:r>
    </w:p>
    <w:p w14:paraId="42B005B8" w14:textId="1716B122" w:rsidR="00DD6B09" w:rsidRPr="0059218B" w:rsidRDefault="00382E45" w:rsidP="00490248">
      <w:pPr>
        <w:pStyle w:val="Heading4"/>
      </w:pPr>
      <w:r w:rsidRPr="0059218B">
        <w:t xml:space="preserve">Reporting on </w:t>
      </w:r>
      <w:r w:rsidR="00BC7A7A" w:rsidRPr="0059218B">
        <w:t>s</w:t>
      </w:r>
      <w:r w:rsidR="00DD6B09" w:rsidRPr="0059218B">
        <w:t xml:space="preserve">ex, </w:t>
      </w:r>
      <w:r w:rsidR="00BC7A7A" w:rsidRPr="0059218B">
        <w:t>g</w:t>
      </w:r>
      <w:r w:rsidR="00DD6B09" w:rsidRPr="0059218B">
        <w:t xml:space="preserve">ender, </w:t>
      </w:r>
      <w:r w:rsidR="00BC7A7A" w:rsidRPr="0059218B">
        <w:t>v</w:t>
      </w:r>
      <w:r w:rsidR="00DD6B09" w:rsidRPr="0059218B">
        <w:t>ar</w:t>
      </w:r>
      <w:r w:rsidR="00680C55" w:rsidRPr="0059218B">
        <w:t xml:space="preserve">iations of </w:t>
      </w:r>
      <w:r w:rsidR="00BC7A7A" w:rsidRPr="0059218B">
        <w:t>s</w:t>
      </w:r>
      <w:r w:rsidR="00680C55" w:rsidRPr="0059218B">
        <w:t xml:space="preserve">ex </w:t>
      </w:r>
      <w:r w:rsidR="00BC7A7A" w:rsidRPr="0059218B">
        <w:t>c</w:t>
      </w:r>
      <w:r w:rsidR="00680C55" w:rsidRPr="0059218B">
        <w:t xml:space="preserve">haracteristics and </w:t>
      </w:r>
      <w:r w:rsidR="006866C5" w:rsidRPr="0059218B">
        <w:t>s</w:t>
      </w:r>
      <w:r w:rsidR="00680C55" w:rsidRPr="0059218B">
        <w:t xml:space="preserve">exual </w:t>
      </w:r>
      <w:r w:rsidR="006866C5" w:rsidRPr="0059218B">
        <w:t>o</w:t>
      </w:r>
      <w:r w:rsidR="00680C55" w:rsidRPr="0059218B">
        <w:t xml:space="preserve">rientation </w:t>
      </w:r>
    </w:p>
    <w:p w14:paraId="4D6E4B85" w14:textId="1307DDAE" w:rsidR="00B639DD" w:rsidRPr="0059218B" w:rsidRDefault="00B639DD" w:rsidP="00B639DD">
      <w:r w:rsidRPr="0059218B">
        <w:t xml:space="preserve">Most organisations report on 2 </w:t>
      </w:r>
      <w:r w:rsidR="00DD5EDA" w:rsidRPr="0059218B">
        <w:t>indicators of sex, gender, variations of sex characteristic</w:t>
      </w:r>
      <w:r w:rsidR="00F337F6" w:rsidRPr="0059218B">
        <w:t>s</w:t>
      </w:r>
      <w:r w:rsidR="00DD5EDA" w:rsidRPr="0059218B">
        <w:t xml:space="preserve"> and sexual orientation: gender and </w:t>
      </w:r>
      <w:r w:rsidR="000A24D4" w:rsidRPr="0059218B">
        <w:t xml:space="preserve">LGBTIQ+ identity. </w:t>
      </w:r>
    </w:p>
    <w:p w14:paraId="770FA610" w14:textId="762758E7" w:rsidR="00B639DD" w:rsidRPr="0059218B" w:rsidRDefault="150B919F" w:rsidP="41ED6CC6">
      <w:pPr>
        <w:pStyle w:val="ListParagraph"/>
        <w:numPr>
          <w:ilvl w:val="0"/>
          <w:numId w:val="26"/>
        </w:numPr>
        <w:ind w:left="714" w:hanging="357"/>
        <w:rPr>
          <w:b/>
          <w:bCs/>
        </w:rPr>
      </w:pPr>
      <w:r w:rsidRPr="41ED6CC6">
        <w:rPr>
          <w:b/>
          <w:bCs/>
        </w:rPr>
        <w:t xml:space="preserve">Gender: </w:t>
      </w:r>
      <w:r w:rsidRPr="41ED6CC6">
        <w:t>organisations report on the percentages of employees describing their gender as woman, man and non-binary. For example, you might say “81% of our team members describe their gender as woman, 11% describe their gender as man, and 4% describe their gender as non-binary”.</w:t>
      </w:r>
    </w:p>
    <w:p w14:paraId="3BE916A0" w14:textId="025BD3FB" w:rsidR="00B639DD" w:rsidRPr="0059218B" w:rsidRDefault="00B639DD" w:rsidP="00337E92">
      <w:pPr>
        <w:pStyle w:val="ListParagraph"/>
        <w:numPr>
          <w:ilvl w:val="0"/>
          <w:numId w:val="26"/>
        </w:numPr>
        <w:ind w:left="714" w:hanging="357"/>
        <w:contextualSpacing w:val="0"/>
        <w:rPr>
          <w:b/>
          <w:bCs/>
        </w:rPr>
      </w:pPr>
      <w:r w:rsidRPr="0059218B">
        <w:rPr>
          <w:b/>
          <w:bCs/>
        </w:rPr>
        <w:t>LGBT</w:t>
      </w:r>
      <w:r w:rsidR="0001313D" w:rsidRPr="0059218B">
        <w:rPr>
          <w:b/>
          <w:bCs/>
        </w:rPr>
        <w:t>IQ</w:t>
      </w:r>
      <w:r w:rsidR="000776CC" w:rsidRPr="0059218B">
        <w:rPr>
          <w:b/>
          <w:bCs/>
        </w:rPr>
        <w:t>+</w:t>
      </w:r>
      <w:r w:rsidR="00A220A0" w:rsidRPr="0059218B">
        <w:rPr>
          <w:b/>
          <w:bCs/>
        </w:rPr>
        <w:t>:</w:t>
      </w:r>
      <w:r w:rsidRPr="0059218B">
        <w:rPr>
          <w:b/>
          <w:bCs/>
        </w:rPr>
        <w:t xml:space="preserve"> </w:t>
      </w:r>
      <w:r w:rsidR="001301F6" w:rsidRPr="0059218B">
        <w:t>organisations</w:t>
      </w:r>
      <w:r w:rsidR="00C652F7" w:rsidRPr="0059218B">
        <w:t xml:space="preserve"> report on the percentage of employees who describe themselves as LGBTIQ+, </w:t>
      </w:r>
      <w:r w:rsidR="007F08C5">
        <w:t>such as</w:t>
      </w:r>
      <w:r w:rsidR="00C652F7" w:rsidRPr="0059218B">
        <w:t xml:space="preserve"> “18% of our team</w:t>
      </w:r>
      <w:r w:rsidR="007F08C5">
        <w:t xml:space="preserve"> members</w:t>
      </w:r>
      <w:r w:rsidR="00C652F7" w:rsidRPr="0059218B">
        <w:t xml:space="preserve"> describe themselves as LGBTIQ+”. </w:t>
      </w:r>
    </w:p>
    <w:p w14:paraId="0D6A60C6" w14:textId="455C911A" w:rsidR="000776CC" w:rsidRPr="0059218B" w:rsidRDefault="00996BBD" w:rsidP="000776CC">
      <w:r w:rsidRPr="0059218B">
        <w:t>Some organisations may</w:t>
      </w:r>
      <w:r w:rsidR="000776CC" w:rsidRPr="0059218B">
        <w:t xml:space="preserve"> </w:t>
      </w:r>
      <w:r w:rsidRPr="0059218B">
        <w:t xml:space="preserve">also want to </w:t>
      </w:r>
      <w:r w:rsidR="000776CC" w:rsidRPr="0059218B">
        <w:t>consider reporting on the percentage</w:t>
      </w:r>
      <w:r w:rsidR="007F08C5">
        <w:t>s</w:t>
      </w:r>
      <w:r w:rsidR="000776CC" w:rsidRPr="0059218B">
        <w:t xml:space="preserve"> of intersex employees (employees with innate variation of sex characteristics) </w:t>
      </w:r>
      <w:r w:rsidR="007F08C5">
        <w:t>and</w:t>
      </w:r>
      <w:r w:rsidR="000776CC" w:rsidRPr="0059218B">
        <w:t xml:space="preserve"> LGBTQ+ employees</w:t>
      </w:r>
      <w:r w:rsidR="007F08C5">
        <w:t>.</w:t>
      </w:r>
      <w:r w:rsidR="000776CC" w:rsidRPr="0059218B">
        <w:t xml:space="preserve"> </w:t>
      </w:r>
      <w:r w:rsidR="007F08C5">
        <w:t>This is because</w:t>
      </w:r>
      <w:r w:rsidR="000776CC" w:rsidRPr="0059218B">
        <w:t xml:space="preserve"> </w:t>
      </w:r>
      <w:r w:rsidRPr="0059218B">
        <w:t xml:space="preserve">intersex variation is not related to sexual orientation or gender. </w:t>
      </w:r>
      <w:r w:rsidR="007F08C5">
        <w:t>It</w:t>
      </w:r>
      <w:r w:rsidR="007F08C5" w:rsidRPr="0059218B">
        <w:t xml:space="preserve"> </w:t>
      </w:r>
      <w:r w:rsidRPr="0059218B">
        <w:t>should only be reported if individual employees are not identifiable from the data.</w:t>
      </w:r>
    </w:p>
    <w:p w14:paraId="310B7D66" w14:textId="543E19AC" w:rsidR="00680C55" w:rsidRPr="0059218B" w:rsidRDefault="00382E45" w:rsidP="00490248">
      <w:pPr>
        <w:pStyle w:val="Heading4"/>
      </w:pPr>
      <w:r w:rsidRPr="0059218B">
        <w:t xml:space="preserve">Reporting on </w:t>
      </w:r>
      <w:r w:rsidR="006866C5" w:rsidRPr="0059218B">
        <w:t>s</w:t>
      </w:r>
      <w:r w:rsidR="00CC15DC" w:rsidRPr="0059218B">
        <w:t xml:space="preserve">ocial </w:t>
      </w:r>
      <w:r w:rsidR="006866C5" w:rsidRPr="0059218B">
        <w:t>c</w:t>
      </w:r>
      <w:r w:rsidR="00CC15DC" w:rsidRPr="0059218B">
        <w:t xml:space="preserve">lass </w:t>
      </w:r>
    </w:p>
    <w:p w14:paraId="461C76A6" w14:textId="01C96C3B" w:rsidR="007D2BC5" w:rsidRPr="0059218B" w:rsidRDefault="150B919F" w:rsidP="41ED6CC6">
      <w:r w:rsidRPr="41ED6CC6">
        <w:t xml:space="preserve">Social class is an emerging area for reporting in Australia. DCA’s </w:t>
      </w:r>
      <w:hyperlink r:id="rId27">
        <w:r w:rsidRPr="41ED6CC6">
          <w:rPr>
            <w:rStyle w:val="Hyperlink"/>
          </w:rPr>
          <w:t>Class at Work</w:t>
        </w:r>
      </w:hyperlink>
      <w:r w:rsidRPr="41ED6CC6">
        <w:t xml:space="preserve"> report collected class-related data using the subjective social status survey measure. In this approach, organisations can report on the percentage of employees who self-rate their position as, for example, lower class, middle class or higher class. For example, you might say “35% of our employees self-rated their position as lower class”.  </w:t>
      </w:r>
    </w:p>
    <w:p w14:paraId="5062C013" w14:textId="77777777" w:rsidR="00BB4DD0" w:rsidRPr="0059218B" w:rsidRDefault="00BB4DD0">
      <w:pPr>
        <w:sectPr w:rsidR="00BB4DD0" w:rsidRPr="0059218B">
          <w:footerReference w:type="default" r:id="rId28"/>
          <w:endnotePr>
            <w:numFmt w:val="decimal"/>
          </w:endnotePr>
          <w:pgSz w:w="11906" w:h="16838"/>
          <w:pgMar w:top="1440" w:right="1440" w:bottom="1440" w:left="1440" w:header="708" w:footer="708" w:gutter="0"/>
          <w:cols w:space="708"/>
          <w:docGrid w:linePitch="360"/>
        </w:sectPr>
      </w:pPr>
    </w:p>
    <w:p w14:paraId="16536E82" w14:textId="5DC94D15" w:rsidR="00BB4DD0" w:rsidRPr="0059218B" w:rsidRDefault="003777A0" w:rsidP="00490248">
      <w:pPr>
        <w:pStyle w:val="Heading2"/>
      </w:pPr>
      <w:bookmarkStart w:id="14" w:name="_Appendix_I_–"/>
      <w:bookmarkStart w:id="15" w:name="_Toc193468425"/>
      <w:bookmarkEnd w:id="14"/>
      <w:r w:rsidRPr="0059218B">
        <w:t>Appendix</w:t>
      </w:r>
      <w:r w:rsidR="00B255F7" w:rsidRPr="0059218B">
        <w:t xml:space="preserve"> </w:t>
      </w:r>
      <w:r w:rsidR="00D07F46" w:rsidRPr="0059218B">
        <w:t>A</w:t>
      </w:r>
      <w:r w:rsidR="00134E79" w:rsidRPr="0059218B">
        <w:t>:</w:t>
      </w:r>
      <w:r w:rsidRPr="0059218B">
        <w:t xml:space="preserve"> Calculating </w:t>
      </w:r>
      <w:r w:rsidR="006175D8" w:rsidRPr="0059218B">
        <w:t>o</w:t>
      </w:r>
      <w:r w:rsidR="000B38F5" w:rsidRPr="0059218B">
        <w:t xml:space="preserve">verall </w:t>
      </w:r>
      <w:r w:rsidR="006175D8" w:rsidRPr="0059218B">
        <w:t>w</w:t>
      </w:r>
      <w:r w:rsidR="00EB0D83" w:rsidRPr="0059218B">
        <w:t xml:space="preserve">orkforce </w:t>
      </w:r>
      <w:r w:rsidR="006175D8" w:rsidRPr="0059218B">
        <w:t>d</w:t>
      </w:r>
      <w:r w:rsidRPr="0059218B">
        <w:t xml:space="preserve">iversity </w:t>
      </w:r>
      <w:r w:rsidR="006175D8" w:rsidRPr="0059218B">
        <w:t>s</w:t>
      </w:r>
      <w:r w:rsidR="00BB4DD0" w:rsidRPr="0059218B">
        <w:t>tatistics</w:t>
      </w:r>
      <w:bookmarkEnd w:id="15"/>
      <w:r w:rsidR="00BB4DD0" w:rsidRPr="0059218B">
        <w:t xml:space="preserve"> </w:t>
      </w:r>
    </w:p>
    <w:p w14:paraId="783F03F7" w14:textId="34B55FEB" w:rsidR="000871B9" w:rsidRPr="0059218B" w:rsidRDefault="000871B9" w:rsidP="000871B9">
      <w:r w:rsidRPr="0059218B">
        <w:t xml:space="preserve">This table </w:t>
      </w:r>
      <w:r w:rsidR="00584E0A" w:rsidRPr="0059218B">
        <w:t>outlines</w:t>
      </w:r>
      <w:r w:rsidRPr="0059218B">
        <w:t xml:space="preserve"> how to calculate your </w:t>
      </w:r>
      <w:r w:rsidR="000B38F5" w:rsidRPr="0059218B">
        <w:t xml:space="preserve">overall </w:t>
      </w:r>
      <w:r w:rsidR="00EB0D83" w:rsidRPr="0059218B">
        <w:t xml:space="preserve">workforce </w:t>
      </w:r>
      <w:r w:rsidRPr="0059218B">
        <w:t xml:space="preserve">diversity statistics when using the </w:t>
      </w:r>
      <w:r w:rsidR="00F336D4">
        <w:t>d</w:t>
      </w:r>
      <w:r w:rsidR="000B38F5" w:rsidRPr="0059218B">
        <w:t xml:space="preserve">iversity </w:t>
      </w:r>
      <w:r w:rsidRPr="0059218B">
        <w:t xml:space="preserve">questions and response options in </w:t>
      </w:r>
      <w:r w:rsidR="00A86434" w:rsidRPr="0059218B">
        <w:t xml:space="preserve">DCA’s </w:t>
      </w:r>
      <w:hyperlink r:id="rId29" w:anchor="infographic" w:history="1">
        <w:r w:rsidRPr="00EC77F7">
          <w:rPr>
            <w:rStyle w:val="Hyperlink"/>
          </w:rPr>
          <w:t xml:space="preserve">D&amp;I Data at Work: Questions and Response Options </w:t>
        </w:r>
        <w:r w:rsidR="00A86434" w:rsidRPr="00EC77F7">
          <w:rPr>
            <w:rStyle w:val="Hyperlink"/>
          </w:rPr>
          <w:t>Guide</w:t>
        </w:r>
      </w:hyperlink>
      <w:r w:rsidRPr="0059218B">
        <w:t xml:space="preserve">. </w:t>
      </w:r>
    </w:p>
    <w:tbl>
      <w:tblPr>
        <w:tblStyle w:val="ListTable3-Accent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56"/>
        <w:gridCol w:w="2268"/>
        <w:gridCol w:w="8646"/>
      </w:tblGrid>
      <w:tr w:rsidR="00BB4DD0" w:rsidRPr="0059218B" w14:paraId="3DD4B846" w14:textId="77777777" w:rsidTr="008257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04A37A14" w14:textId="77777777" w:rsidR="00BB4DD0" w:rsidRPr="0059218B" w:rsidRDefault="00BB4DD0">
            <w:pPr>
              <w:rPr>
                <w:b w:val="0"/>
                <w:bCs w:val="0"/>
                <w:szCs w:val="24"/>
              </w:rPr>
            </w:pPr>
            <w:r w:rsidRPr="0059218B">
              <w:rPr>
                <w:szCs w:val="24"/>
              </w:rPr>
              <w:t>Demographic</w:t>
            </w:r>
          </w:p>
        </w:tc>
        <w:tc>
          <w:tcPr>
            <w:tcW w:w="2268" w:type="dxa"/>
          </w:tcPr>
          <w:p w14:paraId="0E8F0498" w14:textId="4252B2DF" w:rsidR="00BB4DD0" w:rsidRPr="0059218B" w:rsidRDefault="00BB4DD0">
            <w:pPr>
              <w:cnfStyle w:val="100000000000" w:firstRow="1" w:lastRow="0" w:firstColumn="0" w:lastColumn="0" w:oddVBand="0" w:evenVBand="0" w:oddHBand="0" w:evenHBand="0" w:firstRowFirstColumn="0" w:firstRowLastColumn="0" w:lastRowFirstColumn="0" w:lastRowLastColumn="0"/>
              <w:rPr>
                <w:szCs w:val="24"/>
              </w:rPr>
            </w:pPr>
            <w:r w:rsidRPr="0059218B">
              <w:rPr>
                <w:szCs w:val="24"/>
              </w:rPr>
              <w:t>Multi</w:t>
            </w:r>
            <w:r w:rsidR="00F336D4">
              <w:rPr>
                <w:szCs w:val="24"/>
              </w:rPr>
              <w:t>-</w:t>
            </w:r>
            <w:r w:rsidRPr="0059218B">
              <w:rPr>
                <w:szCs w:val="24"/>
              </w:rPr>
              <w:t xml:space="preserve"> or single</w:t>
            </w:r>
            <w:r w:rsidR="00F336D4">
              <w:rPr>
                <w:szCs w:val="24"/>
              </w:rPr>
              <w:t>-</w:t>
            </w:r>
            <w:r w:rsidRPr="0059218B">
              <w:rPr>
                <w:szCs w:val="24"/>
              </w:rPr>
              <w:t>select question</w:t>
            </w:r>
          </w:p>
        </w:tc>
        <w:tc>
          <w:tcPr>
            <w:tcW w:w="8646" w:type="dxa"/>
          </w:tcPr>
          <w:p w14:paraId="1FAFFEF5" w14:textId="0B42AA94" w:rsidR="00BB4DD0" w:rsidRPr="0059218B" w:rsidRDefault="00F336D4">
            <w:pPr>
              <w:cnfStyle w:val="100000000000" w:firstRow="1" w:lastRow="0" w:firstColumn="0" w:lastColumn="0" w:oddVBand="0" w:evenVBand="0" w:oddHBand="0" w:evenHBand="0" w:firstRowFirstColumn="0" w:firstRowLastColumn="0" w:lastRowFirstColumn="0" w:lastRowLastColumn="0"/>
              <w:rPr>
                <w:szCs w:val="24"/>
              </w:rPr>
            </w:pPr>
            <w:r>
              <w:rPr>
                <w:szCs w:val="24"/>
              </w:rPr>
              <w:t>Calculation of</w:t>
            </w:r>
            <w:r w:rsidR="00BB4DD0" w:rsidRPr="0059218B">
              <w:rPr>
                <w:szCs w:val="24"/>
              </w:rPr>
              <w:t xml:space="preserve"> high-level summary  </w:t>
            </w:r>
          </w:p>
        </w:tc>
      </w:tr>
      <w:tr w:rsidR="00BB4DD0" w:rsidRPr="0059218B" w14:paraId="6502D925"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24AE22E8" w14:textId="77777777" w:rsidR="00BB4DD0" w:rsidRPr="0059218B" w:rsidRDefault="00BB4DD0" w:rsidP="00EB0D83">
            <w:pPr>
              <w:spacing w:before="80" w:after="80"/>
              <w:rPr>
                <w:szCs w:val="24"/>
              </w:rPr>
            </w:pPr>
            <w:r w:rsidRPr="0059218B">
              <w:rPr>
                <w:szCs w:val="24"/>
              </w:rPr>
              <w:t>Aboriginal and/or Torres Strait Islander background</w:t>
            </w:r>
          </w:p>
        </w:tc>
        <w:tc>
          <w:tcPr>
            <w:tcW w:w="2268" w:type="dxa"/>
          </w:tcPr>
          <w:p w14:paraId="477DF114" w14:textId="77777777"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rPr>
                <w:szCs w:val="24"/>
              </w:rPr>
            </w:pPr>
            <w:r w:rsidRPr="0059218B">
              <w:rPr>
                <w:szCs w:val="24"/>
              </w:rPr>
              <w:t xml:space="preserve">Single-select </w:t>
            </w:r>
          </w:p>
        </w:tc>
        <w:tc>
          <w:tcPr>
            <w:tcW w:w="8646" w:type="dxa"/>
          </w:tcPr>
          <w:p w14:paraId="45965B17" w14:textId="3B37C6E5" w:rsidR="00BB4DD0" w:rsidRPr="0059218B" w:rsidRDefault="00BB4DD0" w:rsidP="00337E92">
            <w:pPr>
              <w:pStyle w:val="ListParagraph"/>
              <w:numPr>
                <w:ilvl w:val="0"/>
                <w:numId w:val="21"/>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Aboriginal and/or Torres Strait Islander</w:t>
            </w:r>
            <w:r w:rsidRPr="0059218B">
              <w:rPr>
                <w:szCs w:val="24"/>
              </w:rPr>
              <w:t xml:space="preserve"> = % Yes, Aboriginal + % Yes, Torres Strait Islander + % Yes, both Aboriginal and Torres Strait Islander </w:t>
            </w:r>
          </w:p>
          <w:p w14:paraId="34315E7E" w14:textId="77777777" w:rsidR="00BB4DD0" w:rsidRPr="0059218B" w:rsidRDefault="00BB4DD0" w:rsidP="00337E92">
            <w:pPr>
              <w:pStyle w:val="ListParagraph"/>
              <w:numPr>
                <w:ilvl w:val="0"/>
                <w:numId w:val="7"/>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Non-Indigenous</w:t>
            </w:r>
            <w:r w:rsidRPr="0059218B">
              <w:rPr>
                <w:szCs w:val="24"/>
              </w:rPr>
              <w:t xml:space="preserve"> = % No </w:t>
            </w:r>
          </w:p>
        </w:tc>
      </w:tr>
      <w:tr w:rsidR="00BB4DD0" w:rsidRPr="0059218B" w14:paraId="4D1C18E3"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39514452" w14:textId="77777777" w:rsidR="00BB4DD0" w:rsidRPr="0059218B" w:rsidRDefault="00BB4DD0" w:rsidP="00EB0D83">
            <w:pPr>
              <w:spacing w:before="80" w:after="80"/>
              <w:rPr>
                <w:szCs w:val="24"/>
              </w:rPr>
            </w:pPr>
            <w:r w:rsidRPr="0059218B">
              <w:rPr>
                <w:szCs w:val="24"/>
              </w:rPr>
              <w:t>Age</w:t>
            </w:r>
          </w:p>
        </w:tc>
        <w:tc>
          <w:tcPr>
            <w:tcW w:w="2268" w:type="dxa"/>
          </w:tcPr>
          <w:p w14:paraId="7DB6DC7F" w14:textId="77777777" w:rsidR="00BB4DD0" w:rsidRPr="0059218B" w:rsidRDefault="00BB4DD0" w:rsidP="00EB0D83">
            <w:pPr>
              <w:pStyle w:val="ListParagraph"/>
              <w:spacing w:before="80" w:after="80"/>
              <w:ind w:left="0"/>
              <w:contextualSpacing w:val="0"/>
              <w:cnfStyle w:val="000000000000" w:firstRow="0" w:lastRow="0" w:firstColumn="0" w:lastColumn="0" w:oddVBand="0" w:evenVBand="0" w:oddHBand="0" w:evenHBand="0" w:firstRowFirstColumn="0" w:firstRowLastColumn="0" w:lastRowFirstColumn="0" w:lastRowLastColumn="0"/>
              <w:rPr>
                <w:b/>
                <w:bCs/>
                <w:szCs w:val="24"/>
              </w:rPr>
            </w:pPr>
            <w:r w:rsidRPr="0059218B">
              <w:rPr>
                <w:szCs w:val="24"/>
              </w:rPr>
              <w:t xml:space="preserve">Single-select </w:t>
            </w:r>
          </w:p>
        </w:tc>
        <w:tc>
          <w:tcPr>
            <w:tcW w:w="8646" w:type="dxa"/>
          </w:tcPr>
          <w:p w14:paraId="6B35E4C0" w14:textId="74738B54"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 xml:space="preserve">Younger </w:t>
            </w:r>
            <w:r w:rsidRPr="0059218B">
              <w:rPr>
                <w:szCs w:val="24"/>
              </w:rPr>
              <w:t>= % ages 29 and under combined</w:t>
            </w:r>
          </w:p>
          <w:p w14:paraId="0D959A41" w14:textId="5BEB0800"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Mid-career</w:t>
            </w:r>
            <w:r w:rsidRPr="0059218B">
              <w:rPr>
                <w:szCs w:val="24"/>
              </w:rPr>
              <w:t xml:space="preserve"> = % ages 30 to 54 combined </w:t>
            </w:r>
          </w:p>
          <w:p w14:paraId="3F4B76DF" w14:textId="5CEE1647"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Older</w:t>
            </w:r>
            <w:r w:rsidRPr="0059218B">
              <w:rPr>
                <w:szCs w:val="24"/>
              </w:rPr>
              <w:t xml:space="preserve"> = % ages 55 and above combined </w:t>
            </w:r>
          </w:p>
        </w:tc>
      </w:tr>
      <w:tr w:rsidR="00BB4DD0" w:rsidRPr="0059218B" w14:paraId="570B8E44"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49F38811" w14:textId="075852F8" w:rsidR="00BB4DD0" w:rsidRPr="0059218B" w:rsidRDefault="00BB4DD0" w:rsidP="00EB0D83">
            <w:pPr>
              <w:spacing w:before="80" w:after="80"/>
              <w:rPr>
                <w:szCs w:val="24"/>
              </w:rPr>
            </w:pPr>
            <w:r w:rsidRPr="0059218B">
              <w:rPr>
                <w:szCs w:val="24"/>
              </w:rPr>
              <w:t xml:space="preserve">Caring </w:t>
            </w:r>
            <w:r w:rsidR="00996AF3" w:rsidRPr="0059218B">
              <w:rPr>
                <w:szCs w:val="24"/>
              </w:rPr>
              <w:t>r</w:t>
            </w:r>
            <w:r w:rsidRPr="0059218B">
              <w:rPr>
                <w:szCs w:val="24"/>
              </w:rPr>
              <w:t>esponsibilities</w:t>
            </w:r>
          </w:p>
        </w:tc>
        <w:tc>
          <w:tcPr>
            <w:tcW w:w="2268" w:type="dxa"/>
          </w:tcPr>
          <w:p w14:paraId="1EB7D895" w14:textId="77777777"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rPr>
                <w:szCs w:val="24"/>
              </w:rPr>
            </w:pPr>
            <w:r w:rsidRPr="0059218B">
              <w:rPr>
                <w:szCs w:val="24"/>
              </w:rPr>
              <w:t xml:space="preserve">Multi-select </w:t>
            </w:r>
          </w:p>
        </w:tc>
        <w:tc>
          <w:tcPr>
            <w:tcW w:w="8646" w:type="dxa"/>
          </w:tcPr>
          <w:p w14:paraId="0DFC8EE5" w14:textId="30686EC6"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Caring responsibilities</w:t>
            </w:r>
            <w:r w:rsidRPr="0059218B">
              <w:rPr>
                <w:szCs w:val="24"/>
              </w:rPr>
              <w:t xml:space="preserve"> = 100% </w:t>
            </w:r>
            <w:r w:rsidR="00F336D4">
              <w:rPr>
                <w:szCs w:val="24"/>
              </w:rPr>
              <w:t>–</w:t>
            </w:r>
            <w:r w:rsidRPr="0059218B">
              <w:rPr>
                <w:szCs w:val="24"/>
              </w:rPr>
              <w:t xml:space="preserve"> % No </w:t>
            </w:r>
            <w:r w:rsidR="00F336D4">
              <w:rPr>
                <w:szCs w:val="24"/>
              </w:rPr>
              <w:t>–</w:t>
            </w:r>
            <w:r w:rsidRPr="0059218B">
              <w:rPr>
                <w:szCs w:val="24"/>
              </w:rPr>
              <w:t xml:space="preserve"> % Prefer not to say </w:t>
            </w:r>
          </w:p>
          <w:p w14:paraId="2D029499" w14:textId="77777777"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No caring responsibilities</w:t>
            </w:r>
            <w:r w:rsidRPr="0059218B">
              <w:rPr>
                <w:szCs w:val="24"/>
              </w:rPr>
              <w:t xml:space="preserve"> = % No </w:t>
            </w:r>
          </w:p>
        </w:tc>
      </w:tr>
      <w:tr w:rsidR="00BB4DD0" w:rsidRPr="0059218B" w14:paraId="3ADD73B6"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715DBAFD" w14:textId="77777777" w:rsidR="00BB4DD0" w:rsidRPr="0059218B" w:rsidRDefault="00BB4DD0" w:rsidP="00EB0D83">
            <w:pPr>
              <w:spacing w:before="80" w:after="80"/>
              <w:rPr>
                <w:szCs w:val="24"/>
              </w:rPr>
            </w:pPr>
            <w:r w:rsidRPr="0059218B">
              <w:rPr>
                <w:szCs w:val="24"/>
              </w:rPr>
              <w:t xml:space="preserve">Cultural background </w:t>
            </w:r>
          </w:p>
        </w:tc>
        <w:tc>
          <w:tcPr>
            <w:tcW w:w="2268" w:type="dxa"/>
          </w:tcPr>
          <w:p w14:paraId="33DB7884" w14:textId="77777777" w:rsidR="00BB4DD0" w:rsidRPr="0059218B" w:rsidRDefault="00BB4DD0" w:rsidP="00EB0D83">
            <w:pPr>
              <w:pStyle w:val="ListParagraph"/>
              <w:spacing w:before="80" w:after="80"/>
              <w:ind w:left="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szCs w:val="24"/>
              </w:rPr>
              <w:t xml:space="preserve">Multi-select </w:t>
            </w:r>
          </w:p>
        </w:tc>
        <w:tc>
          <w:tcPr>
            <w:tcW w:w="8646" w:type="dxa"/>
          </w:tcPr>
          <w:p w14:paraId="05AB3C7E" w14:textId="364E3F27"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Main</w:t>
            </w:r>
            <w:r w:rsidR="00F336D4">
              <w:rPr>
                <w:b/>
                <w:bCs/>
                <w:szCs w:val="24"/>
              </w:rPr>
              <w:t xml:space="preserve"> </w:t>
            </w:r>
            <w:r w:rsidRPr="0059218B">
              <w:rPr>
                <w:b/>
                <w:bCs/>
                <w:szCs w:val="24"/>
              </w:rPr>
              <w:t>English</w:t>
            </w:r>
            <w:r w:rsidR="00F336D4">
              <w:rPr>
                <w:b/>
                <w:bCs/>
                <w:szCs w:val="24"/>
              </w:rPr>
              <w:t>-</w:t>
            </w:r>
            <w:r w:rsidRPr="0059218B">
              <w:rPr>
                <w:b/>
                <w:bCs/>
                <w:szCs w:val="24"/>
              </w:rPr>
              <w:t>speaking background(s) only</w:t>
            </w:r>
            <w:r w:rsidRPr="0059218B">
              <w:rPr>
                <w:szCs w:val="24"/>
              </w:rPr>
              <w:t xml:space="preserve"> = % English</w:t>
            </w:r>
            <w:r w:rsidR="00F336D4">
              <w:rPr>
                <w:szCs w:val="24"/>
              </w:rPr>
              <w:t>-</w:t>
            </w:r>
            <w:r w:rsidRPr="0059218B">
              <w:rPr>
                <w:szCs w:val="24"/>
              </w:rPr>
              <w:t xml:space="preserve">speaking backgrounds only </w:t>
            </w:r>
          </w:p>
          <w:p w14:paraId="153C6DC4" w14:textId="278BF67F"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One or more non-main</w:t>
            </w:r>
            <w:r w:rsidR="00F336D4">
              <w:rPr>
                <w:b/>
                <w:bCs/>
                <w:szCs w:val="24"/>
              </w:rPr>
              <w:t xml:space="preserve"> </w:t>
            </w:r>
            <w:r w:rsidRPr="0059218B">
              <w:rPr>
                <w:b/>
                <w:bCs/>
                <w:szCs w:val="24"/>
              </w:rPr>
              <w:t>English</w:t>
            </w:r>
            <w:r w:rsidR="00F336D4">
              <w:rPr>
                <w:b/>
                <w:bCs/>
                <w:szCs w:val="24"/>
              </w:rPr>
              <w:t>-</w:t>
            </w:r>
            <w:r w:rsidRPr="0059218B">
              <w:rPr>
                <w:b/>
                <w:bCs/>
                <w:szCs w:val="24"/>
              </w:rPr>
              <w:t xml:space="preserve">speaking background(s) </w:t>
            </w:r>
            <w:r w:rsidRPr="0059218B">
              <w:rPr>
                <w:szCs w:val="24"/>
              </w:rPr>
              <w:t xml:space="preserve">= % one or more non-main English-speaking backgrounds </w:t>
            </w:r>
          </w:p>
          <w:p w14:paraId="54B83BDD" w14:textId="3BE393C3"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rPr>
                <w:szCs w:val="24"/>
              </w:rPr>
            </w:pPr>
            <w:r w:rsidRPr="0059218B">
              <w:rPr>
                <w:szCs w:val="24"/>
              </w:rPr>
              <w:t xml:space="preserve">See Measure 1 of DCA’s </w:t>
            </w:r>
            <w:hyperlink r:id="rId30" w:history="1">
              <w:r w:rsidRPr="0059218B">
                <w:rPr>
                  <w:rStyle w:val="Hyperlink"/>
                  <w:szCs w:val="24"/>
                </w:rPr>
                <w:t>Counting Culture</w:t>
              </w:r>
            </w:hyperlink>
            <w:r w:rsidRPr="0059218B">
              <w:rPr>
                <w:szCs w:val="24"/>
              </w:rPr>
              <w:t xml:space="preserve"> on background groupings. </w:t>
            </w:r>
          </w:p>
        </w:tc>
      </w:tr>
      <w:tr w:rsidR="00BB4DD0" w:rsidRPr="0059218B" w14:paraId="2EEBD5EA"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5CACF292" w14:textId="0B57AD8C" w:rsidR="00BB4DD0" w:rsidRPr="0059218B" w:rsidRDefault="00BB4DD0" w:rsidP="00EB0D83">
            <w:pPr>
              <w:spacing w:before="80" w:after="80"/>
              <w:rPr>
                <w:szCs w:val="24"/>
              </w:rPr>
            </w:pPr>
            <w:r w:rsidRPr="0059218B">
              <w:rPr>
                <w:szCs w:val="24"/>
              </w:rPr>
              <w:t xml:space="preserve">Country of </w:t>
            </w:r>
            <w:r w:rsidR="00996AF3" w:rsidRPr="0059218B">
              <w:rPr>
                <w:szCs w:val="24"/>
              </w:rPr>
              <w:t>b</w:t>
            </w:r>
            <w:r w:rsidRPr="0059218B">
              <w:rPr>
                <w:szCs w:val="24"/>
              </w:rPr>
              <w:t xml:space="preserve">irth </w:t>
            </w:r>
          </w:p>
        </w:tc>
        <w:tc>
          <w:tcPr>
            <w:tcW w:w="2268" w:type="dxa"/>
          </w:tcPr>
          <w:p w14:paraId="71E2A2A1" w14:textId="77777777"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rPr>
                <w:szCs w:val="24"/>
              </w:rPr>
            </w:pPr>
            <w:r w:rsidRPr="0059218B">
              <w:rPr>
                <w:szCs w:val="24"/>
              </w:rPr>
              <w:t xml:space="preserve">Single-select </w:t>
            </w:r>
          </w:p>
        </w:tc>
        <w:tc>
          <w:tcPr>
            <w:tcW w:w="8646" w:type="dxa"/>
          </w:tcPr>
          <w:p w14:paraId="1E85E14B" w14:textId="77777777"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Born in Australia</w:t>
            </w:r>
            <w:r w:rsidRPr="0059218B">
              <w:rPr>
                <w:szCs w:val="24"/>
              </w:rPr>
              <w:t xml:space="preserve"> = % Australia </w:t>
            </w:r>
          </w:p>
          <w:p w14:paraId="1120B5D1" w14:textId="750341A5"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Born overseas</w:t>
            </w:r>
            <w:r w:rsidRPr="0059218B">
              <w:rPr>
                <w:szCs w:val="24"/>
              </w:rPr>
              <w:t xml:space="preserve"> = 100% </w:t>
            </w:r>
            <w:r w:rsidR="00F336D4">
              <w:rPr>
                <w:szCs w:val="24"/>
              </w:rPr>
              <w:t>–</w:t>
            </w:r>
            <w:r w:rsidRPr="0059218B">
              <w:rPr>
                <w:szCs w:val="24"/>
              </w:rPr>
              <w:t xml:space="preserve"> % Australia </w:t>
            </w:r>
            <w:r w:rsidR="00F336D4">
              <w:rPr>
                <w:szCs w:val="24"/>
              </w:rPr>
              <w:t>–</w:t>
            </w:r>
            <w:r w:rsidRPr="0059218B">
              <w:rPr>
                <w:szCs w:val="24"/>
              </w:rPr>
              <w:t xml:space="preserve"> % Unsure </w:t>
            </w:r>
            <w:r w:rsidR="00F336D4">
              <w:rPr>
                <w:szCs w:val="24"/>
              </w:rPr>
              <w:t>–</w:t>
            </w:r>
            <w:r w:rsidR="0058520B" w:rsidRPr="0059218B">
              <w:rPr>
                <w:szCs w:val="24"/>
              </w:rPr>
              <w:t xml:space="preserve"> % Prefer not to say</w:t>
            </w:r>
          </w:p>
        </w:tc>
      </w:tr>
      <w:tr w:rsidR="00BB4DD0" w:rsidRPr="0059218B" w14:paraId="7F0B3FEF"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287A3452" w14:textId="77777777" w:rsidR="00BB4DD0" w:rsidRPr="0059218B" w:rsidRDefault="00BB4DD0" w:rsidP="00EB0D83">
            <w:pPr>
              <w:spacing w:before="80" w:after="80"/>
              <w:rPr>
                <w:szCs w:val="24"/>
              </w:rPr>
            </w:pPr>
            <w:r w:rsidRPr="0059218B">
              <w:rPr>
                <w:szCs w:val="24"/>
              </w:rPr>
              <w:t>Disability</w:t>
            </w:r>
          </w:p>
        </w:tc>
        <w:tc>
          <w:tcPr>
            <w:tcW w:w="2268" w:type="dxa"/>
          </w:tcPr>
          <w:p w14:paraId="7335FE1C" w14:textId="6C68E5BB" w:rsidR="00BB4DD0" w:rsidRPr="0059218B" w:rsidRDefault="00BB4DD0" w:rsidP="00EB0D83">
            <w:pPr>
              <w:pStyle w:val="ListParagraph"/>
              <w:spacing w:before="80" w:after="80"/>
              <w:ind w:left="0"/>
              <w:contextualSpacing w:val="0"/>
              <w:cnfStyle w:val="000000000000" w:firstRow="0" w:lastRow="0" w:firstColumn="0" w:lastColumn="0" w:oddVBand="0" w:evenVBand="0" w:oddHBand="0" w:evenHBand="0" w:firstRowFirstColumn="0" w:firstRowLastColumn="0" w:lastRowFirstColumn="0" w:lastRowLastColumn="0"/>
              <w:rPr>
                <w:b/>
                <w:bCs/>
                <w:szCs w:val="24"/>
              </w:rPr>
            </w:pPr>
            <w:r w:rsidRPr="0059218B">
              <w:rPr>
                <w:szCs w:val="24"/>
              </w:rPr>
              <w:t>Single</w:t>
            </w:r>
            <w:r w:rsidR="00F336D4">
              <w:rPr>
                <w:szCs w:val="24"/>
              </w:rPr>
              <w:t>-</w:t>
            </w:r>
            <w:r w:rsidRPr="0059218B">
              <w:rPr>
                <w:szCs w:val="24"/>
              </w:rPr>
              <w:t xml:space="preserve">select </w:t>
            </w:r>
          </w:p>
        </w:tc>
        <w:tc>
          <w:tcPr>
            <w:tcW w:w="8646" w:type="dxa"/>
          </w:tcPr>
          <w:p w14:paraId="79626D95" w14:textId="28DF618A"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 xml:space="preserve">With </w:t>
            </w:r>
            <w:r w:rsidR="00F336D4">
              <w:rPr>
                <w:b/>
                <w:bCs/>
                <w:szCs w:val="24"/>
              </w:rPr>
              <w:t>d</w:t>
            </w:r>
            <w:r w:rsidRPr="0059218B">
              <w:rPr>
                <w:b/>
                <w:bCs/>
                <w:szCs w:val="24"/>
              </w:rPr>
              <w:t>isability</w:t>
            </w:r>
            <w:r w:rsidRPr="0059218B">
              <w:rPr>
                <w:szCs w:val="24"/>
              </w:rPr>
              <w:t xml:space="preserve"> = % Yes</w:t>
            </w:r>
          </w:p>
          <w:p w14:paraId="5012DF3E" w14:textId="5DC8C885" w:rsidR="00BB4DD0" w:rsidRPr="0059218B" w:rsidRDefault="00BB4DD0" w:rsidP="00337E92">
            <w:pPr>
              <w:pStyle w:val="ListParagraph"/>
              <w:numPr>
                <w:ilvl w:val="0"/>
                <w:numId w:val="9"/>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 xml:space="preserve">Without </w:t>
            </w:r>
            <w:r w:rsidR="00F336D4">
              <w:rPr>
                <w:b/>
                <w:bCs/>
                <w:szCs w:val="24"/>
              </w:rPr>
              <w:t>d</w:t>
            </w:r>
            <w:r w:rsidRPr="0059218B">
              <w:rPr>
                <w:b/>
                <w:bCs/>
                <w:szCs w:val="24"/>
              </w:rPr>
              <w:t>isability</w:t>
            </w:r>
            <w:r w:rsidRPr="0059218B">
              <w:rPr>
                <w:szCs w:val="24"/>
              </w:rPr>
              <w:t xml:space="preserve"> = % No </w:t>
            </w:r>
          </w:p>
        </w:tc>
      </w:tr>
      <w:tr w:rsidR="00BB4DD0" w:rsidRPr="0059218B" w14:paraId="0E031E00"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6DA0C209" w14:textId="77777777" w:rsidR="00BB4DD0" w:rsidRPr="0059218B" w:rsidRDefault="00BB4DD0" w:rsidP="00EB0D83">
            <w:pPr>
              <w:spacing w:before="80" w:after="80"/>
              <w:rPr>
                <w:szCs w:val="24"/>
              </w:rPr>
            </w:pPr>
            <w:r w:rsidRPr="0059218B">
              <w:rPr>
                <w:szCs w:val="24"/>
              </w:rPr>
              <w:t>Gender</w:t>
            </w:r>
          </w:p>
        </w:tc>
        <w:tc>
          <w:tcPr>
            <w:tcW w:w="2268" w:type="dxa"/>
          </w:tcPr>
          <w:p w14:paraId="4B40CA2E" w14:textId="3FBC9077"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rPr>
                <w:szCs w:val="24"/>
              </w:rPr>
            </w:pPr>
            <w:r w:rsidRPr="0059218B">
              <w:rPr>
                <w:szCs w:val="24"/>
              </w:rPr>
              <w:t>Single</w:t>
            </w:r>
            <w:r w:rsidR="00F336D4">
              <w:rPr>
                <w:szCs w:val="24"/>
              </w:rPr>
              <w:t>-</w:t>
            </w:r>
            <w:r w:rsidRPr="0059218B">
              <w:rPr>
                <w:szCs w:val="24"/>
              </w:rPr>
              <w:t xml:space="preserve">select </w:t>
            </w:r>
          </w:p>
        </w:tc>
        <w:tc>
          <w:tcPr>
            <w:tcW w:w="8646" w:type="dxa"/>
          </w:tcPr>
          <w:p w14:paraId="0F992ABE" w14:textId="6B54399F" w:rsidR="00BB4DD0" w:rsidRPr="0059218B" w:rsidRDefault="00BB4DD0" w:rsidP="00337E92">
            <w:pPr>
              <w:pStyle w:val="ListParagraph"/>
              <w:numPr>
                <w:ilvl w:val="0"/>
                <w:numId w:val="23"/>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 xml:space="preserve">Men </w:t>
            </w:r>
            <w:r w:rsidRPr="0059218B">
              <w:rPr>
                <w:szCs w:val="24"/>
              </w:rPr>
              <w:t xml:space="preserve">= % </w:t>
            </w:r>
            <w:r w:rsidR="00123289">
              <w:rPr>
                <w:szCs w:val="24"/>
              </w:rPr>
              <w:t>M</w:t>
            </w:r>
            <w:r w:rsidRPr="0059218B">
              <w:rPr>
                <w:szCs w:val="24"/>
              </w:rPr>
              <w:t>an or male</w:t>
            </w:r>
          </w:p>
          <w:p w14:paraId="0209814F" w14:textId="134648B6" w:rsidR="00BB4DD0" w:rsidRPr="0059218B" w:rsidRDefault="00BB4DD0" w:rsidP="00337E92">
            <w:pPr>
              <w:pStyle w:val="ListParagraph"/>
              <w:numPr>
                <w:ilvl w:val="0"/>
                <w:numId w:val="23"/>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Women</w:t>
            </w:r>
            <w:r w:rsidRPr="0059218B">
              <w:rPr>
                <w:szCs w:val="24"/>
              </w:rPr>
              <w:t xml:space="preserve"> = % </w:t>
            </w:r>
            <w:r w:rsidR="00123289">
              <w:rPr>
                <w:szCs w:val="24"/>
              </w:rPr>
              <w:t>W</w:t>
            </w:r>
            <w:r w:rsidRPr="0059218B">
              <w:rPr>
                <w:szCs w:val="24"/>
              </w:rPr>
              <w:t xml:space="preserve">oman or female </w:t>
            </w:r>
          </w:p>
          <w:p w14:paraId="41B275B6" w14:textId="2F3304C5" w:rsidR="00BB4DD0" w:rsidRPr="0059218B" w:rsidRDefault="150B919F" w:rsidP="150B919F">
            <w:pPr>
              <w:pStyle w:val="ListParagraph"/>
              <w:numPr>
                <w:ilvl w:val="0"/>
                <w:numId w:val="23"/>
              </w:numPr>
              <w:spacing w:before="80" w:after="80"/>
              <w:cnfStyle w:val="000000000000" w:firstRow="0" w:lastRow="0" w:firstColumn="0" w:lastColumn="0" w:oddVBand="0" w:evenVBand="0" w:oddHBand="0" w:evenHBand="0" w:firstRowFirstColumn="0" w:firstRowLastColumn="0" w:lastRowFirstColumn="0" w:lastRowLastColumn="0"/>
            </w:pPr>
            <w:r w:rsidRPr="41ED6CC6">
              <w:rPr>
                <w:b/>
                <w:bCs/>
              </w:rPr>
              <w:t>Non-binary</w:t>
            </w:r>
            <w:r w:rsidRPr="41ED6CC6">
              <w:t xml:space="preserve"> = % Non-binary </w:t>
            </w:r>
          </w:p>
          <w:p w14:paraId="765AA1EE" w14:textId="77777777" w:rsidR="00BB4DD0" w:rsidRPr="0059218B" w:rsidRDefault="00BB4DD0" w:rsidP="00337E92">
            <w:pPr>
              <w:pStyle w:val="ListParagraph"/>
              <w:numPr>
                <w:ilvl w:val="0"/>
                <w:numId w:val="23"/>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Using a different term</w:t>
            </w:r>
            <w:r w:rsidRPr="0059218B">
              <w:rPr>
                <w:szCs w:val="24"/>
              </w:rPr>
              <w:t xml:space="preserve"> = % I use a different term (please specify)</w:t>
            </w:r>
          </w:p>
        </w:tc>
      </w:tr>
      <w:tr w:rsidR="00BB4DD0" w:rsidRPr="0059218B" w14:paraId="58AE9445"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28A2A744" w14:textId="77777777" w:rsidR="00BB4DD0" w:rsidRPr="0059218B" w:rsidRDefault="00BB4DD0" w:rsidP="00EB0D83">
            <w:pPr>
              <w:spacing w:before="80" w:after="80"/>
              <w:rPr>
                <w:szCs w:val="24"/>
              </w:rPr>
            </w:pPr>
            <w:r w:rsidRPr="0059218B">
              <w:rPr>
                <w:szCs w:val="24"/>
              </w:rPr>
              <w:t>LGBTIQ+</w:t>
            </w:r>
          </w:p>
        </w:tc>
        <w:tc>
          <w:tcPr>
            <w:tcW w:w="2268" w:type="dxa"/>
          </w:tcPr>
          <w:p w14:paraId="02F79733" w14:textId="77777777" w:rsidR="00BB4DD0" w:rsidRPr="0059218B" w:rsidRDefault="00BB4DD0" w:rsidP="00EB0D83">
            <w:pPr>
              <w:pStyle w:val="ListParagraph"/>
              <w:spacing w:before="80" w:after="80"/>
              <w:ind w:left="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szCs w:val="24"/>
              </w:rPr>
              <w:t xml:space="preserve">Multi-select </w:t>
            </w:r>
          </w:p>
        </w:tc>
        <w:tc>
          <w:tcPr>
            <w:tcW w:w="8646" w:type="dxa"/>
          </w:tcPr>
          <w:p w14:paraId="6F703B8B" w14:textId="4DE9B7D8" w:rsidR="00BB4DD0" w:rsidRPr="0059218B" w:rsidRDefault="00BB4DD0" w:rsidP="00337E92">
            <w:pPr>
              <w:pStyle w:val="ListParagraph"/>
              <w:numPr>
                <w:ilvl w:val="0"/>
                <w:numId w:val="22"/>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LGBTIQ+</w:t>
            </w:r>
            <w:r w:rsidRPr="0059218B">
              <w:rPr>
                <w:szCs w:val="24"/>
              </w:rPr>
              <w:t xml:space="preserve"> = 100% </w:t>
            </w:r>
            <w:r w:rsidR="00F336D4">
              <w:rPr>
                <w:szCs w:val="24"/>
              </w:rPr>
              <w:t>–</w:t>
            </w:r>
            <w:r w:rsidRPr="0059218B">
              <w:rPr>
                <w:szCs w:val="24"/>
              </w:rPr>
              <w:t xml:space="preserve"> % No </w:t>
            </w:r>
            <w:r w:rsidR="00F336D4">
              <w:rPr>
                <w:szCs w:val="24"/>
              </w:rPr>
              <w:t>–</w:t>
            </w:r>
            <w:r w:rsidRPr="0059218B">
              <w:rPr>
                <w:szCs w:val="24"/>
              </w:rPr>
              <w:t xml:space="preserve"> % Prefer not to say  </w:t>
            </w:r>
          </w:p>
          <w:p w14:paraId="3FA9304B" w14:textId="77777777" w:rsidR="00BB4DD0" w:rsidRPr="0059218B" w:rsidRDefault="00BB4DD0" w:rsidP="00337E92">
            <w:pPr>
              <w:pStyle w:val="ListParagraph"/>
              <w:numPr>
                <w:ilvl w:val="0"/>
                <w:numId w:val="22"/>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Non-LGBTIQ+</w:t>
            </w:r>
            <w:r w:rsidRPr="0059218B">
              <w:rPr>
                <w:szCs w:val="24"/>
              </w:rPr>
              <w:t xml:space="preserve"> = % No</w:t>
            </w:r>
          </w:p>
        </w:tc>
      </w:tr>
      <w:tr w:rsidR="00BB4DD0" w:rsidRPr="0059218B" w14:paraId="4F652BE8"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3C7B11E7" w14:textId="77777777" w:rsidR="00BB4DD0" w:rsidRPr="0059218B" w:rsidRDefault="00BB4DD0" w:rsidP="00EB0D83">
            <w:pPr>
              <w:spacing w:before="80" w:after="80"/>
              <w:rPr>
                <w:szCs w:val="24"/>
              </w:rPr>
            </w:pPr>
            <w:r w:rsidRPr="0059218B">
              <w:rPr>
                <w:szCs w:val="24"/>
              </w:rPr>
              <w:t>Multilingual</w:t>
            </w:r>
          </w:p>
        </w:tc>
        <w:tc>
          <w:tcPr>
            <w:tcW w:w="2268" w:type="dxa"/>
          </w:tcPr>
          <w:p w14:paraId="586AA7E7" w14:textId="77777777" w:rsidR="00BB4DD0" w:rsidRPr="0059218B" w:rsidRDefault="00BB4DD0" w:rsidP="00EB0D83">
            <w:pPr>
              <w:pStyle w:val="ListParagraph"/>
              <w:spacing w:before="80" w:after="80"/>
              <w:ind w:left="0"/>
              <w:contextualSpacing w:val="0"/>
              <w:cnfStyle w:val="000000000000" w:firstRow="0" w:lastRow="0" w:firstColumn="0" w:lastColumn="0" w:oddVBand="0" w:evenVBand="0" w:oddHBand="0" w:evenHBand="0" w:firstRowFirstColumn="0" w:firstRowLastColumn="0" w:lastRowFirstColumn="0" w:lastRowLastColumn="0"/>
              <w:rPr>
                <w:b/>
                <w:bCs/>
                <w:szCs w:val="24"/>
              </w:rPr>
            </w:pPr>
            <w:r w:rsidRPr="0059218B">
              <w:rPr>
                <w:szCs w:val="24"/>
              </w:rPr>
              <w:t xml:space="preserve">Multi-select </w:t>
            </w:r>
          </w:p>
        </w:tc>
        <w:tc>
          <w:tcPr>
            <w:tcW w:w="8646" w:type="dxa"/>
          </w:tcPr>
          <w:p w14:paraId="0EB832B8" w14:textId="3AA5CE1B" w:rsidR="00BB4DD0" w:rsidRPr="0059218B" w:rsidRDefault="00BB4DD0" w:rsidP="00337E92">
            <w:pPr>
              <w:pStyle w:val="ListParagraph"/>
              <w:numPr>
                <w:ilvl w:val="0"/>
                <w:numId w:val="20"/>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Non-multilingual</w:t>
            </w:r>
            <w:r w:rsidRPr="0059218B">
              <w:rPr>
                <w:szCs w:val="24"/>
              </w:rPr>
              <w:t xml:space="preserve"> = % Speak English </w:t>
            </w:r>
            <w:r w:rsidR="00F336D4">
              <w:rPr>
                <w:szCs w:val="24"/>
              </w:rPr>
              <w:t>o</w:t>
            </w:r>
            <w:r w:rsidRPr="0059218B">
              <w:rPr>
                <w:szCs w:val="24"/>
              </w:rPr>
              <w:t>nly</w:t>
            </w:r>
          </w:p>
          <w:p w14:paraId="4B7E829A" w14:textId="56A3672F" w:rsidR="00BB4DD0" w:rsidRPr="0059218B" w:rsidRDefault="00BB4DD0" w:rsidP="00337E92">
            <w:pPr>
              <w:pStyle w:val="ListParagraph"/>
              <w:numPr>
                <w:ilvl w:val="0"/>
                <w:numId w:val="20"/>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Multilingua</w:t>
            </w:r>
            <w:r w:rsidRPr="0059218B">
              <w:rPr>
                <w:szCs w:val="24"/>
              </w:rPr>
              <w:t xml:space="preserve">l = 100% </w:t>
            </w:r>
            <w:r w:rsidR="00F336D4">
              <w:rPr>
                <w:szCs w:val="24"/>
              </w:rPr>
              <w:t>–</w:t>
            </w:r>
            <w:r w:rsidRPr="0059218B">
              <w:rPr>
                <w:szCs w:val="24"/>
              </w:rPr>
              <w:t xml:space="preserve"> % Speak English </w:t>
            </w:r>
            <w:r w:rsidR="00F336D4">
              <w:rPr>
                <w:szCs w:val="24"/>
              </w:rPr>
              <w:t>o</w:t>
            </w:r>
            <w:r w:rsidRPr="0059218B">
              <w:rPr>
                <w:szCs w:val="24"/>
              </w:rPr>
              <w:t xml:space="preserve">nly </w:t>
            </w:r>
            <w:r w:rsidR="00F336D4">
              <w:rPr>
                <w:szCs w:val="24"/>
              </w:rPr>
              <w:t>–</w:t>
            </w:r>
            <w:r w:rsidRPr="0059218B">
              <w:rPr>
                <w:szCs w:val="24"/>
              </w:rPr>
              <w:t xml:space="preserve"> % Prefer not to say </w:t>
            </w:r>
          </w:p>
        </w:tc>
      </w:tr>
      <w:tr w:rsidR="00BB4DD0" w:rsidRPr="0059218B" w14:paraId="1E10C0B8" w14:textId="77777777" w:rsidTr="0082570E">
        <w:tc>
          <w:tcPr>
            <w:cnfStyle w:val="001000000000" w:firstRow="0" w:lastRow="0" w:firstColumn="1" w:lastColumn="0" w:oddVBand="0" w:evenVBand="0" w:oddHBand="0" w:evenHBand="0" w:firstRowFirstColumn="0" w:firstRowLastColumn="0" w:lastRowFirstColumn="0" w:lastRowLastColumn="0"/>
            <w:tcW w:w="3256" w:type="dxa"/>
          </w:tcPr>
          <w:p w14:paraId="77523493" w14:textId="42A7FA79" w:rsidR="00BB4DD0" w:rsidRPr="0059218B" w:rsidRDefault="00BB4DD0" w:rsidP="00EB0D83">
            <w:pPr>
              <w:spacing w:before="80" w:after="80"/>
              <w:rPr>
                <w:szCs w:val="24"/>
              </w:rPr>
            </w:pPr>
            <w:r w:rsidRPr="0059218B">
              <w:rPr>
                <w:szCs w:val="24"/>
              </w:rPr>
              <w:t xml:space="preserve">Religious </w:t>
            </w:r>
            <w:r w:rsidR="00996AF3" w:rsidRPr="0059218B">
              <w:rPr>
                <w:szCs w:val="24"/>
              </w:rPr>
              <w:t>a</w:t>
            </w:r>
            <w:r w:rsidRPr="0059218B">
              <w:rPr>
                <w:szCs w:val="24"/>
              </w:rPr>
              <w:t xml:space="preserve">ffiliation </w:t>
            </w:r>
          </w:p>
        </w:tc>
        <w:tc>
          <w:tcPr>
            <w:tcW w:w="2268" w:type="dxa"/>
          </w:tcPr>
          <w:p w14:paraId="27B7EEAE" w14:textId="77777777" w:rsidR="00BB4DD0" w:rsidRPr="0059218B" w:rsidRDefault="00BB4DD0" w:rsidP="00EB0D83">
            <w:pPr>
              <w:pStyle w:val="ListParagraph"/>
              <w:spacing w:before="80" w:after="80"/>
              <w:ind w:left="0"/>
              <w:contextualSpacing w:val="0"/>
              <w:cnfStyle w:val="000000000000" w:firstRow="0" w:lastRow="0" w:firstColumn="0" w:lastColumn="0" w:oddVBand="0" w:evenVBand="0" w:oddHBand="0" w:evenHBand="0" w:firstRowFirstColumn="0" w:firstRowLastColumn="0" w:lastRowFirstColumn="0" w:lastRowLastColumn="0"/>
              <w:rPr>
                <w:b/>
                <w:bCs/>
                <w:szCs w:val="24"/>
              </w:rPr>
            </w:pPr>
            <w:r w:rsidRPr="0059218B">
              <w:rPr>
                <w:szCs w:val="24"/>
              </w:rPr>
              <w:t xml:space="preserve">Single-select </w:t>
            </w:r>
          </w:p>
        </w:tc>
        <w:tc>
          <w:tcPr>
            <w:tcW w:w="8646" w:type="dxa"/>
          </w:tcPr>
          <w:p w14:paraId="564C45AD" w14:textId="113B6730" w:rsidR="00BB4DD0" w:rsidRPr="0059218B" w:rsidRDefault="00BB4DD0" w:rsidP="00337E92">
            <w:pPr>
              <w:pStyle w:val="ListParagraph"/>
              <w:numPr>
                <w:ilvl w:val="0"/>
                <w:numId w:val="20"/>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 xml:space="preserve">Christian </w:t>
            </w:r>
            <w:r w:rsidR="00F336D4">
              <w:rPr>
                <w:b/>
                <w:bCs/>
                <w:szCs w:val="24"/>
              </w:rPr>
              <w:t>r</w:t>
            </w:r>
            <w:r w:rsidRPr="0059218B">
              <w:rPr>
                <w:b/>
                <w:bCs/>
                <w:szCs w:val="24"/>
              </w:rPr>
              <w:t xml:space="preserve">eligious </w:t>
            </w:r>
            <w:r w:rsidR="00F336D4">
              <w:rPr>
                <w:b/>
                <w:bCs/>
                <w:szCs w:val="24"/>
              </w:rPr>
              <w:t>a</w:t>
            </w:r>
            <w:r w:rsidRPr="0059218B">
              <w:rPr>
                <w:b/>
                <w:bCs/>
                <w:szCs w:val="24"/>
              </w:rPr>
              <w:t>ffiliation</w:t>
            </w:r>
            <w:r w:rsidRPr="0059218B">
              <w:rPr>
                <w:szCs w:val="24"/>
              </w:rPr>
              <w:t xml:space="preserve"> = % Christian denominations combined </w:t>
            </w:r>
          </w:p>
          <w:p w14:paraId="4719EE17" w14:textId="3E23F0A6" w:rsidR="00BB4DD0" w:rsidRPr="0059218B" w:rsidRDefault="00BB4DD0" w:rsidP="00337E92">
            <w:pPr>
              <w:pStyle w:val="ListParagraph"/>
              <w:numPr>
                <w:ilvl w:val="0"/>
                <w:numId w:val="20"/>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 xml:space="preserve">Non-Christian </w:t>
            </w:r>
            <w:r w:rsidR="00F336D4">
              <w:rPr>
                <w:b/>
                <w:bCs/>
                <w:szCs w:val="24"/>
              </w:rPr>
              <w:t>r</w:t>
            </w:r>
            <w:r w:rsidRPr="0059218B">
              <w:rPr>
                <w:b/>
                <w:bCs/>
                <w:szCs w:val="24"/>
              </w:rPr>
              <w:t xml:space="preserve">eligious </w:t>
            </w:r>
            <w:r w:rsidR="00F336D4">
              <w:rPr>
                <w:b/>
                <w:bCs/>
                <w:szCs w:val="24"/>
              </w:rPr>
              <w:t>a</w:t>
            </w:r>
            <w:r w:rsidRPr="0059218B">
              <w:rPr>
                <w:b/>
                <w:bCs/>
                <w:szCs w:val="24"/>
              </w:rPr>
              <w:t>ffiliation</w:t>
            </w:r>
            <w:r w:rsidRPr="0059218B">
              <w:rPr>
                <w:szCs w:val="24"/>
              </w:rPr>
              <w:t xml:space="preserve"> = % non-Christian </w:t>
            </w:r>
            <w:r w:rsidR="00F336D4">
              <w:rPr>
                <w:szCs w:val="24"/>
              </w:rPr>
              <w:t>r</w:t>
            </w:r>
            <w:r w:rsidRPr="0059218B">
              <w:rPr>
                <w:szCs w:val="24"/>
              </w:rPr>
              <w:t xml:space="preserve">eligious </w:t>
            </w:r>
            <w:r w:rsidR="00F336D4">
              <w:rPr>
                <w:szCs w:val="24"/>
              </w:rPr>
              <w:t>a</w:t>
            </w:r>
            <w:r w:rsidRPr="0059218B">
              <w:rPr>
                <w:szCs w:val="24"/>
              </w:rPr>
              <w:t xml:space="preserve">ffiliations </w:t>
            </w:r>
            <w:r w:rsidR="00F336D4">
              <w:rPr>
                <w:szCs w:val="24"/>
              </w:rPr>
              <w:t>c</w:t>
            </w:r>
            <w:r w:rsidRPr="0059218B">
              <w:rPr>
                <w:szCs w:val="24"/>
              </w:rPr>
              <w:t xml:space="preserve">ombined </w:t>
            </w:r>
          </w:p>
          <w:p w14:paraId="48CFC5F1" w14:textId="4E16889D" w:rsidR="00BB4DD0" w:rsidRPr="0059218B" w:rsidRDefault="00BB4DD0" w:rsidP="00337E92">
            <w:pPr>
              <w:pStyle w:val="ListParagraph"/>
              <w:numPr>
                <w:ilvl w:val="0"/>
                <w:numId w:val="20"/>
              </w:numPr>
              <w:spacing w:before="80" w:after="80"/>
              <w:contextualSpacing w:val="0"/>
              <w:cnfStyle w:val="000000000000" w:firstRow="0" w:lastRow="0" w:firstColumn="0" w:lastColumn="0" w:oddVBand="0" w:evenVBand="0" w:oddHBand="0" w:evenHBand="0" w:firstRowFirstColumn="0" w:firstRowLastColumn="0" w:lastRowFirstColumn="0" w:lastRowLastColumn="0"/>
              <w:rPr>
                <w:szCs w:val="24"/>
              </w:rPr>
            </w:pPr>
            <w:r w:rsidRPr="0059218B">
              <w:rPr>
                <w:b/>
                <w:bCs/>
                <w:szCs w:val="24"/>
              </w:rPr>
              <w:t>Non-</w:t>
            </w:r>
            <w:r w:rsidR="00FF1B99">
              <w:rPr>
                <w:b/>
                <w:bCs/>
                <w:szCs w:val="24"/>
              </w:rPr>
              <w:t>r</w:t>
            </w:r>
            <w:r w:rsidRPr="0059218B">
              <w:rPr>
                <w:b/>
                <w:bCs/>
                <w:szCs w:val="24"/>
              </w:rPr>
              <w:t>eligious</w:t>
            </w:r>
            <w:r w:rsidRPr="0059218B">
              <w:rPr>
                <w:szCs w:val="24"/>
              </w:rPr>
              <w:t xml:space="preserve"> = % </w:t>
            </w:r>
            <w:r w:rsidR="00123289">
              <w:rPr>
                <w:szCs w:val="24"/>
              </w:rPr>
              <w:t>N</w:t>
            </w:r>
            <w:r w:rsidRPr="0059218B">
              <w:rPr>
                <w:szCs w:val="24"/>
              </w:rPr>
              <w:t>o religion + % other responses grouped as non-religious</w:t>
            </w:r>
          </w:p>
          <w:p w14:paraId="4A619EAA" w14:textId="0D930689"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rPr>
                <w:szCs w:val="24"/>
              </w:rPr>
            </w:pPr>
            <w:r w:rsidRPr="0059218B">
              <w:rPr>
                <w:szCs w:val="24"/>
              </w:rPr>
              <w:t xml:space="preserve">See the </w:t>
            </w:r>
            <w:hyperlink r:id="rId31" w:history="1">
              <w:r w:rsidRPr="0059218B">
                <w:rPr>
                  <w:rStyle w:val="Hyperlink"/>
                  <w:szCs w:val="24"/>
                </w:rPr>
                <w:t>ABS Standard Classification of Religious Groups</w:t>
              </w:r>
            </w:hyperlink>
            <w:r w:rsidRPr="0059218B">
              <w:rPr>
                <w:szCs w:val="24"/>
              </w:rPr>
              <w:t xml:space="preserve"> for information on the</w:t>
            </w:r>
            <w:r w:rsidR="00F336D4">
              <w:rPr>
                <w:szCs w:val="24"/>
              </w:rPr>
              <w:t>s</w:t>
            </w:r>
            <w:r w:rsidRPr="0059218B">
              <w:rPr>
                <w:szCs w:val="24"/>
              </w:rPr>
              <w:t>e groupings</w:t>
            </w:r>
            <w:r w:rsidR="00F336D4">
              <w:rPr>
                <w:szCs w:val="24"/>
              </w:rPr>
              <w:t>.</w:t>
            </w:r>
          </w:p>
        </w:tc>
      </w:tr>
      <w:tr w:rsidR="00BB4DD0" w:rsidRPr="0059218B" w14:paraId="0AD2DC72" w14:textId="77777777" w:rsidTr="0082570E">
        <w:trPr>
          <w:trHeight w:val="2164"/>
        </w:trPr>
        <w:tc>
          <w:tcPr>
            <w:cnfStyle w:val="001000000000" w:firstRow="0" w:lastRow="0" w:firstColumn="1" w:lastColumn="0" w:oddVBand="0" w:evenVBand="0" w:oddHBand="0" w:evenHBand="0" w:firstRowFirstColumn="0" w:firstRowLastColumn="0" w:lastRowFirstColumn="0" w:lastRowLastColumn="0"/>
            <w:tcW w:w="3256" w:type="dxa"/>
          </w:tcPr>
          <w:p w14:paraId="03BE07F9" w14:textId="512EAE64" w:rsidR="00BB4DD0" w:rsidRPr="0059218B" w:rsidRDefault="00BB4DD0" w:rsidP="00EB0D83">
            <w:pPr>
              <w:spacing w:before="80" w:after="80"/>
              <w:rPr>
                <w:szCs w:val="24"/>
              </w:rPr>
            </w:pPr>
            <w:r w:rsidRPr="0059218B">
              <w:rPr>
                <w:szCs w:val="24"/>
              </w:rPr>
              <w:t xml:space="preserve">Subjective </w:t>
            </w:r>
            <w:r w:rsidR="00996AF3" w:rsidRPr="0059218B">
              <w:rPr>
                <w:szCs w:val="24"/>
              </w:rPr>
              <w:t>s</w:t>
            </w:r>
            <w:r w:rsidRPr="0059218B">
              <w:rPr>
                <w:szCs w:val="24"/>
              </w:rPr>
              <w:t xml:space="preserve">ocial </w:t>
            </w:r>
            <w:r w:rsidR="00996AF3" w:rsidRPr="0059218B">
              <w:rPr>
                <w:szCs w:val="24"/>
              </w:rPr>
              <w:t>c</w:t>
            </w:r>
            <w:r w:rsidRPr="0059218B">
              <w:rPr>
                <w:szCs w:val="24"/>
              </w:rPr>
              <w:t xml:space="preserve">lass </w:t>
            </w:r>
            <w:r w:rsidRPr="0059218B">
              <w:rPr>
                <w:b w:val="0"/>
                <w:szCs w:val="24"/>
              </w:rPr>
              <w:t>(</w:t>
            </w:r>
            <w:r w:rsidRPr="0059218B">
              <w:rPr>
                <w:b w:val="0"/>
              </w:rPr>
              <w:t>using the MacArthur Scale)</w:t>
            </w:r>
          </w:p>
        </w:tc>
        <w:tc>
          <w:tcPr>
            <w:tcW w:w="2268" w:type="dxa"/>
          </w:tcPr>
          <w:p w14:paraId="2C44869E" w14:textId="77777777"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pPr>
            <w:r w:rsidRPr="0059218B">
              <w:rPr>
                <w:szCs w:val="24"/>
              </w:rPr>
              <w:t xml:space="preserve">Single-select </w:t>
            </w:r>
          </w:p>
        </w:tc>
        <w:tc>
          <w:tcPr>
            <w:tcW w:w="8646" w:type="dxa"/>
          </w:tcPr>
          <w:p w14:paraId="5BED26DA" w14:textId="64AA8D41"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pPr>
            <w:r w:rsidRPr="0059218B">
              <w:t>Based o</w:t>
            </w:r>
            <w:r w:rsidR="00F336D4">
              <w:t>n</w:t>
            </w:r>
            <w:r w:rsidRPr="0059218B">
              <w:t xml:space="preserve"> other studies,</w:t>
            </w:r>
            <w:r w:rsidR="00FF684C" w:rsidRPr="0059218B">
              <w:t xml:space="preserve"> </w:t>
            </w:r>
            <w:r w:rsidRPr="0059218B">
              <w:t xml:space="preserve">DCA’s </w:t>
            </w:r>
            <w:hyperlink r:id="rId32" w:history="1">
              <w:r w:rsidRPr="0059218B">
                <w:rPr>
                  <w:rStyle w:val="Hyperlink"/>
                  <w:rFonts w:ascii="Aptos" w:hAnsi="Aptos" w:cs="Univers 45 Light"/>
                  <w:szCs w:val="24"/>
                </w:rPr>
                <w:t>Class at Work</w:t>
              </w:r>
            </w:hyperlink>
            <w:r w:rsidRPr="0059218B">
              <w:rPr>
                <w:rStyle w:val="A13"/>
                <w:rFonts w:ascii="Aptos" w:hAnsi="Aptos"/>
                <w:sz w:val="24"/>
                <w:szCs w:val="24"/>
                <w:u w:val="none"/>
              </w:rPr>
              <w:t xml:space="preserve"> </w:t>
            </w:r>
            <w:r w:rsidRPr="0059218B">
              <w:t xml:space="preserve">report took the following approach: </w:t>
            </w:r>
          </w:p>
          <w:p w14:paraId="5814F7C3" w14:textId="3177CF16" w:rsidR="00BB4DD0" w:rsidRPr="0059218B" w:rsidRDefault="150B919F" w:rsidP="00EB0D83">
            <w:pPr>
              <w:spacing w:before="80" w:after="80"/>
              <w:cnfStyle w:val="000000000000" w:firstRow="0" w:lastRow="0" w:firstColumn="0" w:lastColumn="0" w:oddVBand="0" w:evenVBand="0" w:oddHBand="0" w:evenHBand="0" w:firstRowFirstColumn="0" w:firstRowLastColumn="0" w:lastRowFirstColumn="0" w:lastRowLastColumn="0"/>
            </w:pPr>
            <w:r w:rsidRPr="41ED6CC6">
              <w:t xml:space="preserve">• </w:t>
            </w:r>
            <w:r w:rsidRPr="41ED6CC6">
              <w:rPr>
                <w:b/>
                <w:bCs/>
              </w:rPr>
              <w:t xml:space="preserve">Lower class respondents </w:t>
            </w:r>
            <w:r w:rsidRPr="41ED6CC6">
              <w:t>= % reporting their position on the 11</w:t>
            </w:r>
            <w:r w:rsidR="00E03D8C">
              <w:t>-</w:t>
            </w:r>
            <w:r w:rsidRPr="41ED6CC6">
              <w:t>point</w:t>
            </w:r>
            <w:r w:rsidR="00DD7DB0" w:rsidRPr="41ED6CC6">
              <w:t xml:space="preserve"> </w:t>
            </w:r>
            <w:r w:rsidRPr="41ED6CC6">
              <w:t xml:space="preserve">scale as between 0 and 4 </w:t>
            </w:r>
          </w:p>
          <w:p w14:paraId="3771C6DC" w14:textId="6093DA6B"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pPr>
            <w:r w:rsidRPr="0059218B">
              <w:t xml:space="preserve">• </w:t>
            </w:r>
            <w:r w:rsidRPr="0059218B">
              <w:rPr>
                <w:b/>
                <w:bCs/>
              </w:rPr>
              <w:t xml:space="preserve">Middle class respondents </w:t>
            </w:r>
            <w:r w:rsidR="00F73C3A" w:rsidRPr="00BC58A9">
              <w:t>=</w:t>
            </w:r>
            <w:r w:rsidR="00F73C3A">
              <w:t xml:space="preserve"> </w:t>
            </w:r>
            <w:r w:rsidRPr="0059218B">
              <w:t>%</w:t>
            </w:r>
            <w:r w:rsidR="00F73C3A">
              <w:t xml:space="preserve"> </w:t>
            </w:r>
            <w:r w:rsidR="003023B6">
              <w:t>reporting</w:t>
            </w:r>
            <w:r w:rsidRPr="0059218B">
              <w:t xml:space="preserve"> a position between 5 and 7 </w:t>
            </w:r>
          </w:p>
          <w:p w14:paraId="22E6C9A7" w14:textId="6AB75612" w:rsidR="00BB4DD0" w:rsidRPr="0059218B" w:rsidRDefault="00BB4DD0" w:rsidP="00EB0D83">
            <w:pPr>
              <w:spacing w:before="80" w:after="80"/>
              <w:cnfStyle w:val="000000000000" w:firstRow="0" w:lastRow="0" w:firstColumn="0" w:lastColumn="0" w:oddVBand="0" w:evenVBand="0" w:oddHBand="0" w:evenHBand="0" w:firstRowFirstColumn="0" w:firstRowLastColumn="0" w:lastRowFirstColumn="0" w:lastRowLastColumn="0"/>
              <w:rPr>
                <w:szCs w:val="24"/>
              </w:rPr>
            </w:pPr>
            <w:r w:rsidRPr="0059218B">
              <w:rPr>
                <w:szCs w:val="24"/>
              </w:rPr>
              <w:t xml:space="preserve">• </w:t>
            </w:r>
            <w:r w:rsidRPr="0059218B">
              <w:rPr>
                <w:b/>
                <w:bCs/>
                <w:szCs w:val="24"/>
              </w:rPr>
              <w:t xml:space="preserve">Higher class respondents </w:t>
            </w:r>
            <w:r w:rsidR="00F73C3A" w:rsidRPr="00BC58A9">
              <w:rPr>
                <w:szCs w:val="24"/>
              </w:rPr>
              <w:t xml:space="preserve">= </w:t>
            </w:r>
            <w:r w:rsidRPr="00BC58A9">
              <w:rPr>
                <w:szCs w:val="24"/>
              </w:rPr>
              <w:t>%</w:t>
            </w:r>
            <w:r w:rsidR="00F73C3A" w:rsidRPr="003023B6">
              <w:rPr>
                <w:szCs w:val="24"/>
              </w:rPr>
              <w:t xml:space="preserve"> </w:t>
            </w:r>
            <w:r w:rsidR="003023B6" w:rsidRPr="00242CD6">
              <w:rPr>
                <w:szCs w:val="24"/>
              </w:rPr>
              <w:t>reporting</w:t>
            </w:r>
            <w:r w:rsidRPr="0059218B">
              <w:rPr>
                <w:szCs w:val="24"/>
              </w:rPr>
              <w:t xml:space="preserve"> a position between 8 and 10</w:t>
            </w:r>
          </w:p>
        </w:tc>
      </w:tr>
    </w:tbl>
    <w:p w14:paraId="776F83D2" w14:textId="77777777" w:rsidR="00BB4DD0" w:rsidRPr="0059218B" w:rsidRDefault="00BB4DD0">
      <w:pPr>
        <w:sectPr w:rsidR="00BB4DD0" w:rsidRPr="0059218B" w:rsidSect="00BB4DD0">
          <w:endnotePr>
            <w:numFmt w:val="decimal"/>
          </w:endnotePr>
          <w:pgSz w:w="16838" w:h="11906" w:orient="landscape"/>
          <w:pgMar w:top="1440" w:right="1440" w:bottom="1440" w:left="1440" w:header="709" w:footer="709" w:gutter="0"/>
          <w:cols w:space="708"/>
          <w:docGrid w:linePitch="360"/>
        </w:sectPr>
      </w:pPr>
    </w:p>
    <w:p w14:paraId="147E91D7" w14:textId="1CDCB61D" w:rsidR="00F45578" w:rsidRPr="0059218B" w:rsidRDefault="00F45578" w:rsidP="00EA26AA">
      <w:pPr>
        <w:pStyle w:val="Heading2"/>
      </w:pPr>
      <w:bookmarkStart w:id="16" w:name="_Appendix_II_–"/>
      <w:bookmarkStart w:id="17" w:name="_Toc193468426"/>
      <w:bookmarkEnd w:id="16"/>
      <w:r w:rsidRPr="0059218B">
        <w:t>Appendix</w:t>
      </w:r>
      <w:r w:rsidR="00B255F7" w:rsidRPr="0059218B">
        <w:t xml:space="preserve"> </w:t>
      </w:r>
      <w:r w:rsidR="00EB0D83" w:rsidRPr="0059218B">
        <w:t>B</w:t>
      </w:r>
      <w:r w:rsidR="00134E79" w:rsidRPr="0059218B">
        <w:t>:</w:t>
      </w:r>
      <w:r w:rsidR="00383536" w:rsidRPr="0059218B">
        <w:t xml:space="preserve"> </w:t>
      </w:r>
      <w:r w:rsidR="004C4359" w:rsidRPr="0059218B">
        <w:t xml:space="preserve">Diversity of the </w:t>
      </w:r>
      <w:r w:rsidR="00383536" w:rsidRPr="0059218B">
        <w:t xml:space="preserve">Australian </w:t>
      </w:r>
      <w:r w:rsidR="00996AF3" w:rsidRPr="0059218B">
        <w:t>w</w:t>
      </w:r>
      <w:r w:rsidR="00383536" w:rsidRPr="0059218B">
        <w:t>orkforce</w:t>
      </w:r>
      <w:bookmarkEnd w:id="17"/>
      <w:r w:rsidR="00383536" w:rsidRPr="0059218B">
        <w:t xml:space="preserve"> </w:t>
      </w:r>
    </w:p>
    <w:p w14:paraId="31E0F181" w14:textId="4EAE2D3B" w:rsidR="00244BA3" w:rsidRPr="0059218B" w:rsidRDefault="150B919F" w:rsidP="00383536">
      <w:r w:rsidRPr="41ED6CC6">
        <w:t xml:space="preserve">The following percentages are based on the ABS 2021 Census data of employed Australians aged 18 and older (extracted using the ABS TableBuilder, unless marked as collected elsewhere). </w:t>
      </w:r>
    </w:p>
    <w:tbl>
      <w:tblPr>
        <w:tblStyle w:val="PlainTable2"/>
        <w:tblpPr w:leftFromText="180" w:rightFromText="180" w:vertAnchor="text" w:tblpY="1"/>
        <w:tblOverlap w:val="never"/>
        <w:tblW w:w="9356" w:type="dxa"/>
        <w:tblBorders>
          <w:insideH w:val="single" w:sz="4" w:space="0" w:color="auto"/>
          <w:insideV w:val="single" w:sz="4" w:space="0" w:color="auto"/>
        </w:tblBorders>
        <w:tblLook w:val="04A0" w:firstRow="1" w:lastRow="0" w:firstColumn="1" w:lastColumn="0" w:noHBand="0" w:noVBand="1"/>
      </w:tblPr>
      <w:tblGrid>
        <w:gridCol w:w="6096"/>
        <w:gridCol w:w="3260"/>
      </w:tblGrid>
      <w:tr w:rsidR="00C2365D" w:rsidRPr="0059218B" w14:paraId="7F3E576C" w14:textId="77777777" w:rsidTr="41ED6CC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6096" w:type="dxa"/>
            <w:tcBorders>
              <w:bottom w:val="none" w:sz="0" w:space="0" w:color="auto"/>
            </w:tcBorders>
            <w:shd w:val="clear" w:color="auto" w:fill="F2CEED" w:themeFill="accent5" w:themeFillTint="33"/>
            <w:vAlign w:val="center"/>
          </w:tcPr>
          <w:p w14:paraId="1F28204C" w14:textId="77777777" w:rsidR="00C2365D" w:rsidRPr="0059218B" w:rsidRDefault="00C2365D">
            <w:pPr>
              <w:jc w:val="center"/>
              <w:rPr>
                <w:rFonts w:cs="Arial"/>
                <w:szCs w:val="24"/>
              </w:rPr>
            </w:pPr>
            <w:r w:rsidRPr="0059218B">
              <w:rPr>
                <w:rFonts w:cs="Arial"/>
                <w:szCs w:val="24"/>
              </w:rPr>
              <w:t>DEMOGRAPHIC</w:t>
            </w:r>
          </w:p>
        </w:tc>
        <w:tc>
          <w:tcPr>
            <w:tcW w:w="3260" w:type="dxa"/>
            <w:tcBorders>
              <w:bottom w:val="none" w:sz="0" w:space="0" w:color="auto"/>
            </w:tcBorders>
            <w:shd w:val="clear" w:color="auto" w:fill="F2CEED" w:themeFill="accent5" w:themeFillTint="33"/>
            <w:vAlign w:val="center"/>
          </w:tcPr>
          <w:p w14:paraId="616BCA57" w14:textId="47B78994" w:rsidR="00C2365D" w:rsidRPr="0059218B" w:rsidRDefault="00C2365D">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59218B">
              <w:rPr>
                <w:rFonts w:cs="Arial"/>
                <w:szCs w:val="24"/>
              </w:rPr>
              <w:t xml:space="preserve">% </w:t>
            </w:r>
          </w:p>
        </w:tc>
      </w:tr>
      <w:tr w:rsidR="00EA26AA" w:rsidRPr="0059218B" w14:paraId="70F5517E"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shd w:val="clear" w:color="auto" w:fill="F2CEED" w:themeFill="accent5" w:themeFillTint="33"/>
          </w:tcPr>
          <w:p w14:paraId="042DB286" w14:textId="77777777" w:rsidR="00EA26AA" w:rsidRPr="0059218B" w:rsidRDefault="00EA26AA" w:rsidP="00457F9C">
            <w:pPr>
              <w:rPr>
                <w:rFonts w:cs="Arial"/>
                <w:b w:val="0"/>
                <w:bCs w:val="0"/>
                <w:szCs w:val="24"/>
              </w:rPr>
            </w:pPr>
            <w:r w:rsidRPr="0059218B">
              <w:rPr>
                <w:rFonts w:cs="Arial"/>
                <w:szCs w:val="24"/>
              </w:rPr>
              <w:t>Aboriginal and/or Torres Strait Islander</w:t>
            </w:r>
          </w:p>
        </w:tc>
        <w:tc>
          <w:tcPr>
            <w:tcW w:w="3260" w:type="dxa"/>
            <w:shd w:val="clear" w:color="auto" w:fill="F2CEED" w:themeFill="accent5" w:themeFillTint="33"/>
          </w:tcPr>
          <w:p w14:paraId="3AB29B1C" w14:textId="2DE6A3FB" w:rsidR="00EA26AA" w:rsidRPr="0059218B" w:rsidRDefault="00EA26AA" w:rsidP="00457F9C">
            <w:pPr>
              <w:cnfStyle w:val="000000100000" w:firstRow="0" w:lastRow="0" w:firstColumn="0" w:lastColumn="0" w:oddVBand="0" w:evenVBand="0" w:oddHBand="1" w:evenHBand="0" w:firstRowFirstColumn="0" w:firstRowLastColumn="0" w:lastRowFirstColumn="0" w:lastRowLastColumn="0"/>
              <w:rPr>
                <w:rFonts w:cs="Arial"/>
                <w:szCs w:val="24"/>
              </w:rPr>
            </w:pPr>
          </w:p>
        </w:tc>
      </w:tr>
      <w:tr w:rsidR="00457F9C" w:rsidRPr="0059218B" w14:paraId="49929318"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tcPr>
          <w:p w14:paraId="51583C8D" w14:textId="1591157C" w:rsidR="00457F9C" w:rsidRPr="0059218B" w:rsidRDefault="00457F9C">
            <w:pPr>
              <w:rPr>
                <w:rFonts w:cs="Arial"/>
                <w:b w:val="0"/>
                <w:bCs w:val="0"/>
                <w:szCs w:val="24"/>
              </w:rPr>
            </w:pPr>
            <w:r w:rsidRPr="0059218B">
              <w:rPr>
                <w:rFonts w:cs="Arial"/>
                <w:b w:val="0"/>
                <w:bCs w:val="0"/>
                <w:szCs w:val="24"/>
              </w:rPr>
              <w:t>Aboriginal and/or Torres Strait Islander</w:t>
            </w:r>
          </w:p>
        </w:tc>
        <w:tc>
          <w:tcPr>
            <w:tcW w:w="3260" w:type="dxa"/>
            <w:vAlign w:val="center"/>
          </w:tcPr>
          <w:p w14:paraId="4117CFFA" w14:textId="766D8667" w:rsidR="00457F9C" w:rsidRPr="0059218B" w:rsidRDefault="00457F9C"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2.1</w:t>
            </w:r>
          </w:p>
        </w:tc>
      </w:tr>
      <w:tr w:rsidR="00EA26AA" w:rsidRPr="0059218B" w14:paraId="5E9D6353"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shd w:val="clear" w:color="auto" w:fill="F2CEED" w:themeFill="accent5" w:themeFillTint="33"/>
            <w:vAlign w:val="center"/>
          </w:tcPr>
          <w:p w14:paraId="64B17403" w14:textId="77777777" w:rsidR="00EA26AA" w:rsidRPr="0059218B" w:rsidRDefault="00EA26AA" w:rsidP="00311BFE">
            <w:pPr>
              <w:rPr>
                <w:rFonts w:cs="Arial"/>
                <w:b w:val="0"/>
                <w:bCs w:val="0"/>
                <w:szCs w:val="24"/>
              </w:rPr>
            </w:pPr>
            <w:r w:rsidRPr="0059218B">
              <w:rPr>
                <w:rFonts w:cs="Arial"/>
                <w:szCs w:val="24"/>
              </w:rPr>
              <w:t xml:space="preserve">Age </w:t>
            </w:r>
          </w:p>
        </w:tc>
        <w:tc>
          <w:tcPr>
            <w:tcW w:w="3260" w:type="dxa"/>
            <w:shd w:val="clear" w:color="auto" w:fill="F2CEED" w:themeFill="accent5" w:themeFillTint="33"/>
            <w:vAlign w:val="center"/>
          </w:tcPr>
          <w:p w14:paraId="3EB270C7" w14:textId="15C293EC" w:rsidR="00EA26AA" w:rsidRPr="0059218B" w:rsidRDefault="00EA26AA" w:rsidP="00311BFE">
            <w:pPr>
              <w:cnfStyle w:val="000000100000" w:firstRow="0" w:lastRow="0" w:firstColumn="0" w:lastColumn="0" w:oddVBand="0" w:evenVBand="0" w:oddHBand="1" w:evenHBand="0" w:firstRowFirstColumn="0" w:firstRowLastColumn="0" w:lastRowFirstColumn="0" w:lastRowLastColumn="0"/>
              <w:rPr>
                <w:rFonts w:cs="Arial"/>
                <w:szCs w:val="24"/>
              </w:rPr>
            </w:pPr>
          </w:p>
        </w:tc>
      </w:tr>
      <w:tr w:rsidR="00C2365D" w:rsidRPr="0059218B" w14:paraId="63DEABBA" w14:textId="77777777" w:rsidTr="00EA26AA">
        <w:trPr>
          <w:trHeight w:val="146"/>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56F8499B" w14:textId="21B6798F" w:rsidR="00C2365D" w:rsidRPr="0059218B" w:rsidRDefault="00C2365D">
            <w:pPr>
              <w:rPr>
                <w:rFonts w:cs="Arial"/>
                <w:b w:val="0"/>
                <w:bCs w:val="0"/>
                <w:szCs w:val="24"/>
              </w:rPr>
            </w:pPr>
            <w:r w:rsidRPr="0059218B">
              <w:rPr>
                <w:rFonts w:cs="Arial"/>
                <w:b w:val="0"/>
                <w:bCs w:val="0"/>
                <w:color w:val="000000"/>
                <w:szCs w:val="24"/>
              </w:rPr>
              <w:t>18</w:t>
            </w:r>
            <w:r w:rsidR="0001295F">
              <w:rPr>
                <w:rFonts w:cs="Arial"/>
                <w:b w:val="0"/>
                <w:bCs w:val="0"/>
                <w:color w:val="000000"/>
                <w:szCs w:val="24"/>
              </w:rPr>
              <w:t>–</w:t>
            </w:r>
            <w:r w:rsidRPr="0059218B">
              <w:rPr>
                <w:rFonts w:cs="Arial"/>
                <w:b w:val="0"/>
                <w:bCs w:val="0"/>
                <w:color w:val="000000"/>
                <w:szCs w:val="24"/>
              </w:rPr>
              <w:t>24 years</w:t>
            </w:r>
          </w:p>
        </w:tc>
        <w:tc>
          <w:tcPr>
            <w:tcW w:w="3260" w:type="dxa"/>
            <w:vAlign w:val="center"/>
          </w:tcPr>
          <w:p w14:paraId="0E2CB313" w14:textId="4931680E"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color w:val="000000"/>
                <w:szCs w:val="24"/>
              </w:rPr>
              <w:t>12.2</w:t>
            </w:r>
          </w:p>
        </w:tc>
      </w:tr>
      <w:tr w:rsidR="00C2365D" w:rsidRPr="0059218B" w14:paraId="617EB68B"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706EF7E0" w14:textId="660723B1" w:rsidR="00C2365D" w:rsidRPr="0059218B" w:rsidRDefault="00C2365D">
            <w:pPr>
              <w:rPr>
                <w:rFonts w:cs="Arial"/>
                <w:b w:val="0"/>
                <w:bCs w:val="0"/>
                <w:szCs w:val="24"/>
              </w:rPr>
            </w:pPr>
            <w:r w:rsidRPr="0059218B">
              <w:rPr>
                <w:rFonts w:cs="Arial"/>
                <w:b w:val="0"/>
                <w:bCs w:val="0"/>
                <w:color w:val="000000"/>
                <w:szCs w:val="24"/>
              </w:rPr>
              <w:t>25</w:t>
            </w:r>
            <w:r w:rsidR="0001295F">
              <w:rPr>
                <w:rFonts w:cs="Arial"/>
                <w:b w:val="0"/>
                <w:bCs w:val="0"/>
                <w:color w:val="000000"/>
                <w:szCs w:val="24"/>
              </w:rPr>
              <w:t>–</w:t>
            </w:r>
            <w:r w:rsidRPr="0059218B">
              <w:rPr>
                <w:rFonts w:cs="Arial"/>
                <w:b w:val="0"/>
                <w:bCs w:val="0"/>
                <w:color w:val="000000"/>
                <w:szCs w:val="24"/>
              </w:rPr>
              <w:t>34 years</w:t>
            </w:r>
          </w:p>
        </w:tc>
        <w:tc>
          <w:tcPr>
            <w:tcW w:w="3260" w:type="dxa"/>
            <w:vAlign w:val="center"/>
          </w:tcPr>
          <w:p w14:paraId="6C284F7F" w14:textId="6B515F16"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color w:val="000000"/>
                <w:szCs w:val="24"/>
              </w:rPr>
              <w:t>23.3</w:t>
            </w:r>
          </w:p>
        </w:tc>
      </w:tr>
      <w:tr w:rsidR="00C2365D" w:rsidRPr="0059218B" w14:paraId="57EA3936"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552DD2A1" w14:textId="065550C7" w:rsidR="00C2365D" w:rsidRPr="0059218B" w:rsidRDefault="00C2365D">
            <w:pPr>
              <w:rPr>
                <w:rFonts w:cs="Arial"/>
                <w:b w:val="0"/>
                <w:bCs w:val="0"/>
                <w:szCs w:val="24"/>
              </w:rPr>
            </w:pPr>
            <w:r w:rsidRPr="0059218B">
              <w:rPr>
                <w:rFonts w:cs="Arial"/>
                <w:b w:val="0"/>
                <w:bCs w:val="0"/>
                <w:color w:val="000000"/>
                <w:szCs w:val="24"/>
              </w:rPr>
              <w:t>35</w:t>
            </w:r>
            <w:r w:rsidR="0001295F">
              <w:rPr>
                <w:rFonts w:cs="Arial"/>
                <w:b w:val="0"/>
                <w:bCs w:val="0"/>
                <w:color w:val="000000"/>
                <w:szCs w:val="24"/>
              </w:rPr>
              <w:t>–</w:t>
            </w:r>
            <w:r w:rsidRPr="0059218B">
              <w:rPr>
                <w:rFonts w:cs="Arial"/>
                <w:b w:val="0"/>
                <w:bCs w:val="0"/>
                <w:color w:val="000000"/>
                <w:szCs w:val="24"/>
              </w:rPr>
              <w:t>44 years</w:t>
            </w:r>
          </w:p>
        </w:tc>
        <w:tc>
          <w:tcPr>
            <w:tcW w:w="3260" w:type="dxa"/>
            <w:vAlign w:val="center"/>
          </w:tcPr>
          <w:p w14:paraId="59F6460D" w14:textId="23C2405D"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color w:val="000000"/>
                <w:szCs w:val="24"/>
              </w:rPr>
              <w:t>22.9</w:t>
            </w:r>
          </w:p>
        </w:tc>
      </w:tr>
      <w:tr w:rsidR="00C2365D" w:rsidRPr="0059218B" w14:paraId="54D33CC3"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4FA1BA50" w14:textId="748C7801" w:rsidR="00C2365D" w:rsidRPr="0059218B" w:rsidRDefault="00C2365D">
            <w:pPr>
              <w:rPr>
                <w:rFonts w:cs="Arial"/>
                <w:b w:val="0"/>
                <w:bCs w:val="0"/>
                <w:szCs w:val="24"/>
              </w:rPr>
            </w:pPr>
            <w:r w:rsidRPr="0059218B">
              <w:rPr>
                <w:rFonts w:cs="Arial"/>
                <w:b w:val="0"/>
                <w:bCs w:val="0"/>
                <w:color w:val="000000"/>
                <w:szCs w:val="24"/>
              </w:rPr>
              <w:t>45</w:t>
            </w:r>
            <w:r w:rsidR="0001295F">
              <w:rPr>
                <w:rFonts w:cs="Arial"/>
                <w:b w:val="0"/>
                <w:bCs w:val="0"/>
                <w:color w:val="000000"/>
                <w:szCs w:val="24"/>
              </w:rPr>
              <w:t>–</w:t>
            </w:r>
            <w:r w:rsidRPr="0059218B">
              <w:rPr>
                <w:rFonts w:cs="Arial"/>
                <w:b w:val="0"/>
                <w:bCs w:val="0"/>
                <w:color w:val="000000"/>
                <w:szCs w:val="24"/>
              </w:rPr>
              <w:t xml:space="preserve">54 years </w:t>
            </w:r>
          </w:p>
        </w:tc>
        <w:tc>
          <w:tcPr>
            <w:tcW w:w="3260" w:type="dxa"/>
            <w:vAlign w:val="center"/>
          </w:tcPr>
          <w:p w14:paraId="0A7565E8" w14:textId="101580C1"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color w:val="000000"/>
                <w:szCs w:val="24"/>
              </w:rPr>
              <w:t>20.9</w:t>
            </w:r>
          </w:p>
        </w:tc>
      </w:tr>
      <w:tr w:rsidR="00C2365D" w:rsidRPr="0059218B" w14:paraId="16A23D88" w14:textId="77777777" w:rsidTr="00EA26AA">
        <w:trPr>
          <w:trHeight w:val="146"/>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46CEE99E" w14:textId="452347B7" w:rsidR="00C2365D" w:rsidRPr="0059218B" w:rsidRDefault="00C2365D">
            <w:pPr>
              <w:rPr>
                <w:rFonts w:cs="Arial"/>
                <w:b w:val="0"/>
                <w:bCs w:val="0"/>
                <w:szCs w:val="24"/>
              </w:rPr>
            </w:pPr>
            <w:r w:rsidRPr="0059218B">
              <w:rPr>
                <w:rFonts w:cs="Arial"/>
                <w:b w:val="0"/>
                <w:bCs w:val="0"/>
                <w:color w:val="000000"/>
                <w:szCs w:val="24"/>
              </w:rPr>
              <w:t>55</w:t>
            </w:r>
            <w:r w:rsidR="0001295F">
              <w:rPr>
                <w:rFonts w:cs="Arial"/>
                <w:b w:val="0"/>
                <w:bCs w:val="0"/>
                <w:color w:val="000000"/>
                <w:szCs w:val="24"/>
              </w:rPr>
              <w:t>–</w:t>
            </w:r>
            <w:r w:rsidRPr="0059218B">
              <w:rPr>
                <w:rFonts w:cs="Arial"/>
                <w:b w:val="0"/>
                <w:bCs w:val="0"/>
                <w:color w:val="000000"/>
                <w:szCs w:val="24"/>
              </w:rPr>
              <w:t>64 years</w:t>
            </w:r>
          </w:p>
        </w:tc>
        <w:tc>
          <w:tcPr>
            <w:tcW w:w="3260" w:type="dxa"/>
            <w:vAlign w:val="center"/>
          </w:tcPr>
          <w:p w14:paraId="0AE53801" w14:textId="7A44057D"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color w:val="000000"/>
                <w:szCs w:val="24"/>
              </w:rPr>
              <w:t>15.7</w:t>
            </w:r>
          </w:p>
        </w:tc>
      </w:tr>
      <w:tr w:rsidR="00C2365D" w:rsidRPr="0059218B" w14:paraId="28FE0C6F"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691F429A" w14:textId="77777777" w:rsidR="00C2365D" w:rsidRPr="0059218B" w:rsidRDefault="00C2365D">
            <w:pPr>
              <w:rPr>
                <w:rFonts w:cs="Arial"/>
                <w:b w:val="0"/>
                <w:bCs w:val="0"/>
                <w:szCs w:val="24"/>
              </w:rPr>
            </w:pPr>
            <w:r w:rsidRPr="0059218B">
              <w:rPr>
                <w:rFonts w:cs="Arial"/>
                <w:b w:val="0"/>
                <w:bCs w:val="0"/>
                <w:color w:val="000000"/>
                <w:szCs w:val="24"/>
              </w:rPr>
              <w:t>65+ years</w:t>
            </w:r>
          </w:p>
        </w:tc>
        <w:tc>
          <w:tcPr>
            <w:tcW w:w="3260" w:type="dxa"/>
            <w:vAlign w:val="center"/>
          </w:tcPr>
          <w:p w14:paraId="6F4AF0A0" w14:textId="44BEE3C7"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color w:val="000000"/>
                <w:szCs w:val="24"/>
              </w:rPr>
              <w:t>5.0</w:t>
            </w:r>
          </w:p>
        </w:tc>
      </w:tr>
      <w:tr w:rsidR="00EA26AA" w:rsidRPr="0059218B" w14:paraId="5AACFD0C" w14:textId="77777777" w:rsidTr="00EA26AA">
        <w:trPr>
          <w:trHeight w:val="146"/>
        </w:trPr>
        <w:tc>
          <w:tcPr>
            <w:cnfStyle w:val="001000000000" w:firstRow="0" w:lastRow="0" w:firstColumn="1" w:lastColumn="0" w:oddVBand="0" w:evenVBand="0" w:oddHBand="0" w:evenHBand="0" w:firstRowFirstColumn="0" w:firstRowLastColumn="0" w:lastRowFirstColumn="0" w:lastRowLastColumn="0"/>
            <w:tcW w:w="6096" w:type="dxa"/>
            <w:shd w:val="clear" w:color="auto" w:fill="F2CEED" w:themeFill="accent5" w:themeFillTint="33"/>
            <w:vAlign w:val="center"/>
          </w:tcPr>
          <w:p w14:paraId="05BBE78C" w14:textId="77777777" w:rsidR="00EA26AA" w:rsidRPr="0059218B" w:rsidRDefault="00EA26AA" w:rsidP="00311BFE">
            <w:pPr>
              <w:rPr>
                <w:rFonts w:cs="Arial"/>
                <w:b w:val="0"/>
                <w:bCs w:val="0"/>
                <w:szCs w:val="24"/>
              </w:rPr>
            </w:pPr>
            <w:r w:rsidRPr="0059218B">
              <w:rPr>
                <w:rFonts w:cs="Arial"/>
                <w:szCs w:val="24"/>
              </w:rPr>
              <w:t>Sex</w:t>
            </w:r>
            <w:r w:rsidRPr="0059218B">
              <w:rPr>
                <w:rStyle w:val="FootnoteReference"/>
                <w:rFonts w:cs="Arial"/>
                <w:szCs w:val="24"/>
              </w:rPr>
              <w:footnoteReference w:id="2"/>
            </w:r>
          </w:p>
        </w:tc>
        <w:tc>
          <w:tcPr>
            <w:tcW w:w="3260" w:type="dxa"/>
            <w:shd w:val="clear" w:color="auto" w:fill="F2CEED" w:themeFill="accent5" w:themeFillTint="33"/>
            <w:vAlign w:val="center"/>
          </w:tcPr>
          <w:p w14:paraId="6380AE56" w14:textId="72D23804" w:rsidR="00EA26AA" w:rsidRPr="0059218B" w:rsidRDefault="00EA26AA" w:rsidP="00311BFE">
            <w:pPr>
              <w:cnfStyle w:val="000000000000" w:firstRow="0" w:lastRow="0" w:firstColumn="0" w:lastColumn="0" w:oddVBand="0" w:evenVBand="0" w:oddHBand="0" w:evenHBand="0" w:firstRowFirstColumn="0" w:firstRowLastColumn="0" w:lastRowFirstColumn="0" w:lastRowLastColumn="0"/>
              <w:rPr>
                <w:rFonts w:cs="Arial"/>
                <w:szCs w:val="24"/>
              </w:rPr>
            </w:pPr>
          </w:p>
        </w:tc>
      </w:tr>
      <w:tr w:rsidR="00C2365D" w:rsidRPr="0059218B" w14:paraId="466B0DFA"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tcPr>
          <w:p w14:paraId="39748D1A" w14:textId="77777777" w:rsidR="00C2365D" w:rsidRPr="0059218B" w:rsidRDefault="00C2365D">
            <w:pPr>
              <w:rPr>
                <w:rFonts w:cs="Arial"/>
                <w:b w:val="0"/>
                <w:bCs w:val="0"/>
                <w:szCs w:val="24"/>
              </w:rPr>
            </w:pPr>
            <w:r w:rsidRPr="0059218B">
              <w:rPr>
                <w:rFonts w:cs="Arial"/>
                <w:b w:val="0"/>
                <w:bCs w:val="0"/>
                <w:szCs w:val="24"/>
              </w:rPr>
              <w:t>Female</w:t>
            </w:r>
          </w:p>
        </w:tc>
        <w:tc>
          <w:tcPr>
            <w:tcW w:w="3260" w:type="dxa"/>
            <w:vAlign w:val="center"/>
          </w:tcPr>
          <w:p w14:paraId="4755ECD2" w14:textId="017FA18E"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szCs w:val="24"/>
              </w:rPr>
              <w:t>48.4</w:t>
            </w:r>
          </w:p>
        </w:tc>
      </w:tr>
      <w:tr w:rsidR="00C2365D" w:rsidRPr="0059218B" w14:paraId="03E8A9D8"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tcPr>
          <w:p w14:paraId="140419EC" w14:textId="77777777" w:rsidR="00C2365D" w:rsidRPr="0059218B" w:rsidRDefault="00C2365D">
            <w:pPr>
              <w:rPr>
                <w:rFonts w:cs="Arial"/>
                <w:b w:val="0"/>
                <w:bCs w:val="0"/>
                <w:szCs w:val="24"/>
              </w:rPr>
            </w:pPr>
            <w:r w:rsidRPr="0059218B">
              <w:rPr>
                <w:rFonts w:cs="Arial"/>
                <w:b w:val="0"/>
                <w:bCs w:val="0"/>
                <w:szCs w:val="24"/>
              </w:rPr>
              <w:t>Male</w:t>
            </w:r>
          </w:p>
        </w:tc>
        <w:tc>
          <w:tcPr>
            <w:tcW w:w="3260" w:type="dxa"/>
            <w:vAlign w:val="center"/>
          </w:tcPr>
          <w:p w14:paraId="7C632E00" w14:textId="669593B6"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51.6</w:t>
            </w:r>
          </w:p>
        </w:tc>
      </w:tr>
      <w:tr w:rsidR="00EA26AA" w:rsidRPr="0059218B" w14:paraId="77CFBB90" w14:textId="77777777" w:rsidTr="00EA26A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6096" w:type="dxa"/>
            <w:shd w:val="clear" w:color="auto" w:fill="F2CEED" w:themeFill="accent5" w:themeFillTint="33"/>
            <w:vAlign w:val="center"/>
          </w:tcPr>
          <w:p w14:paraId="7C9FCE7F" w14:textId="77777777" w:rsidR="00EA26AA" w:rsidRPr="0059218B" w:rsidRDefault="00EA26AA" w:rsidP="00311BFE">
            <w:pPr>
              <w:rPr>
                <w:rFonts w:cs="Arial"/>
                <w:b w:val="0"/>
                <w:bCs w:val="0"/>
                <w:szCs w:val="24"/>
              </w:rPr>
            </w:pPr>
            <w:r w:rsidRPr="0059218B">
              <w:rPr>
                <w:rFonts w:cs="Arial"/>
                <w:szCs w:val="24"/>
              </w:rPr>
              <w:t>Disability</w:t>
            </w:r>
            <w:r w:rsidRPr="0059218B">
              <w:rPr>
                <w:rStyle w:val="FootnoteReference"/>
                <w:rFonts w:cs="Arial"/>
                <w:szCs w:val="24"/>
              </w:rPr>
              <w:footnoteReference w:id="3"/>
            </w:r>
            <w:r w:rsidRPr="0059218B">
              <w:rPr>
                <w:rFonts w:cs="Arial"/>
                <w:szCs w:val="24"/>
              </w:rPr>
              <w:t xml:space="preserve">  </w:t>
            </w:r>
          </w:p>
        </w:tc>
        <w:tc>
          <w:tcPr>
            <w:tcW w:w="3260" w:type="dxa"/>
            <w:shd w:val="clear" w:color="auto" w:fill="F2CEED" w:themeFill="accent5" w:themeFillTint="33"/>
            <w:vAlign w:val="center"/>
          </w:tcPr>
          <w:p w14:paraId="16C0A6E7" w14:textId="43A71A11" w:rsidR="00EA26AA" w:rsidRPr="0059218B" w:rsidRDefault="00EA26AA" w:rsidP="00311BFE">
            <w:pPr>
              <w:cnfStyle w:val="000000100000" w:firstRow="0" w:lastRow="0" w:firstColumn="0" w:lastColumn="0" w:oddVBand="0" w:evenVBand="0" w:oddHBand="1" w:evenHBand="0" w:firstRowFirstColumn="0" w:firstRowLastColumn="0" w:lastRowFirstColumn="0" w:lastRowLastColumn="0"/>
              <w:rPr>
                <w:rFonts w:cs="Arial"/>
                <w:szCs w:val="24"/>
              </w:rPr>
            </w:pPr>
          </w:p>
        </w:tc>
      </w:tr>
      <w:tr w:rsidR="00C2365D" w:rsidRPr="0059218B" w14:paraId="561CCCA1" w14:textId="77777777" w:rsidTr="00EA26AA">
        <w:trPr>
          <w:trHeight w:val="146"/>
        </w:trPr>
        <w:tc>
          <w:tcPr>
            <w:cnfStyle w:val="001000000000" w:firstRow="0" w:lastRow="0" w:firstColumn="1" w:lastColumn="0" w:oddVBand="0" w:evenVBand="0" w:oddHBand="0" w:evenHBand="0" w:firstRowFirstColumn="0" w:firstRowLastColumn="0" w:lastRowFirstColumn="0" w:lastRowLastColumn="0"/>
            <w:tcW w:w="6096" w:type="dxa"/>
          </w:tcPr>
          <w:p w14:paraId="775B86BC" w14:textId="77777777" w:rsidR="00C2365D" w:rsidRPr="0059218B" w:rsidRDefault="00C2365D">
            <w:pPr>
              <w:rPr>
                <w:rFonts w:cs="Arial"/>
                <w:b w:val="0"/>
                <w:bCs w:val="0"/>
                <w:szCs w:val="24"/>
              </w:rPr>
            </w:pPr>
            <w:r w:rsidRPr="0059218B">
              <w:rPr>
                <w:rFonts w:cs="Arial"/>
                <w:b w:val="0"/>
                <w:bCs w:val="0"/>
                <w:szCs w:val="24"/>
              </w:rPr>
              <w:t xml:space="preserve">With disability </w:t>
            </w:r>
          </w:p>
        </w:tc>
        <w:tc>
          <w:tcPr>
            <w:tcW w:w="3260" w:type="dxa"/>
            <w:vAlign w:val="center"/>
          </w:tcPr>
          <w:p w14:paraId="0D4CCB38" w14:textId="1780DB17"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9.4</w:t>
            </w:r>
          </w:p>
        </w:tc>
      </w:tr>
      <w:tr w:rsidR="00EA26AA" w:rsidRPr="0059218B" w14:paraId="14EE713F" w14:textId="77777777" w:rsidTr="00EA26A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6096" w:type="dxa"/>
            <w:shd w:val="clear" w:color="auto" w:fill="F2CEED" w:themeFill="accent5" w:themeFillTint="33"/>
            <w:vAlign w:val="center"/>
          </w:tcPr>
          <w:p w14:paraId="781806C1" w14:textId="77777777" w:rsidR="00EA26AA" w:rsidRPr="0059218B" w:rsidRDefault="00EA26AA" w:rsidP="00311BFE">
            <w:pPr>
              <w:rPr>
                <w:rFonts w:cs="Arial"/>
                <w:b w:val="0"/>
                <w:bCs w:val="0"/>
                <w:szCs w:val="24"/>
              </w:rPr>
            </w:pPr>
            <w:r w:rsidRPr="0059218B">
              <w:rPr>
                <w:rFonts w:cs="Arial"/>
                <w:szCs w:val="24"/>
              </w:rPr>
              <w:t>LGBTI+</w:t>
            </w:r>
            <w:r w:rsidRPr="0059218B">
              <w:rPr>
                <w:rStyle w:val="FootnoteReference"/>
                <w:rFonts w:cs="Arial"/>
                <w:szCs w:val="24"/>
              </w:rPr>
              <w:footnoteReference w:id="4"/>
            </w:r>
          </w:p>
        </w:tc>
        <w:tc>
          <w:tcPr>
            <w:tcW w:w="3260" w:type="dxa"/>
            <w:shd w:val="clear" w:color="auto" w:fill="F2CEED" w:themeFill="accent5" w:themeFillTint="33"/>
            <w:vAlign w:val="center"/>
          </w:tcPr>
          <w:p w14:paraId="11A2283D" w14:textId="0FBA45E4" w:rsidR="00EA26AA" w:rsidRPr="0059218B" w:rsidRDefault="00EA26AA" w:rsidP="00311BFE">
            <w:pPr>
              <w:cnfStyle w:val="000000100000" w:firstRow="0" w:lastRow="0" w:firstColumn="0" w:lastColumn="0" w:oddVBand="0" w:evenVBand="0" w:oddHBand="1" w:evenHBand="0" w:firstRowFirstColumn="0" w:firstRowLastColumn="0" w:lastRowFirstColumn="0" w:lastRowLastColumn="0"/>
              <w:rPr>
                <w:rFonts w:cs="Arial"/>
                <w:szCs w:val="24"/>
              </w:rPr>
            </w:pPr>
          </w:p>
        </w:tc>
      </w:tr>
      <w:tr w:rsidR="00C2365D" w:rsidRPr="0059218B" w14:paraId="77F3116E" w14:textId="77777777" w:rsidTr="00EA26AA">
        <w:trPr>
          <w:trHeight w:val="146"/>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1A7B437F" w14:textId="63E68F04" w:rsidR="00C2365D" w:rsidRPr="0059218B" w:rsidRDefault="00C2365D">
            <w:pPr>
              <w:rPr>
                <w:rFonts w:cs="Arial"/>
                <w:b w:val="0"/>
                <w:bCs w:val="0"/>
                <w:szCs w:val="24"/>
              </w:rPr>
            </w:pPr>
            <w:r w:rsidRPr="0059218B">
              <w:rPr>
                <w:rFonts w:cs="Arial"/>
                <w:b w:val="0"/>
                <w:bCs w:val="0"/>
                <w:szCs w:val="24"/>
              </w:rPr>
              <w:t>LGBTI</w:t>
            </w:r>
            <w:r w:rsidR="00E94072" w:rsidRPr="0059218B">
              <w:rPr>
                <w:rFonts w:cs="Arial"/>
                <w:b w:val="0"/>
                <w:bCs w:val="0"/>
                <w:szCs w:val="24"/>
              </w:rPr>
              <w:t>+</w:t>
            </w:r>
          </w:p>
        </w:tc>
        <w:tc>
          <w:tcPr>
            <w:tcW w:w="3260" w:type="dxa"/>
            <w:vAlign w:val="center"/>
          </w:tcPr>
          <w:p w14:paraId="05D92F2A" w14:textId="6D2B5816" w:rsidR="00C2365D" w:rsidRPr="0059218B" w:rsidRDefault="00BB12CA"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4.5</w:t>
            </w:r>
          </w:p>
        </w:tc>
      </w:tr>
      <w:tr w:rsidR="00EA26AA" w:rsidRPr="0059218B" w14:paraId="795656CA" w14:textId="77777777" w:rsidTr="00EA26A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6096" w:type="dxa"/>
            <w:shd w:val="clear" w:color="auto" w:fill="F2CEED" w:themeFill="accent5" w:themeFillTint="33"/>
            <w:vAlign w:val="center"/>
          </w:tcPr>
          <w:p w14:paraId="0062673B" w14:textId="77777777" w:rsidR="00EA26AA" w:rsidRPr="0059218B" w:rsidRDefault="00EA26AA" w:rsidP="004A432F">
            <w:pPr>
              <w:rPr>
                <w:rFonts w:cs="Arial"/>
                <w:b w:val="0"/>
                <w:bCs w:val="0"/>
                <w:szCs w:val="24"/>
              </w:rPr>
            </w:pPr>
            <w:r w:rsidRPr="0059218B">
              <w:rPr>
                <w:rFonts w:cs="Arial"/>
                <w:szCs w:val="24"/>
              </w:rPr>
              <w:t>Caring</w:t>
            </w:r>
            <w:r w:rsidRPr="0059218B">
              <w:rPr>
                <w:rStyle w:val="FootnoteReference"/>
                <w:rFonts w:cs="Arial"/>
                <w:szCs w:val="24"/>
              </w:rPr>
              <w:footnoteReference w:id="5"/>
            </w:r>
          </w:p>
        </w:tc>
        <w:tc>
          <w:tcPr>
            <w:tcW w:w="3260" w:type="dxa"/>
            <w:shd w:val="clear" w:color="auto" w:fill="F2CEED" w:themeFill="accent5" w:themeFillTint="33"/>
            <w:vAlign w:val="center"/>
          </w:tcPr>
          <w:p w14:paraId="3240C1C4" w14:textId="4ACEF38E" w:rsidR="00EA26AA" w:rsidRPr="0059218B" w:rsidRDefault="00EA26AA" w:rsidP="004A432F">
            <w:pPr>
              <w:cnfStyle w:val="000000100000" w:firstRow="0" w:lastRow="0" w:firstColumn="0" w:lastColumn="0" w:oddVBand="0" w:evenVBand="0" w:oddHBand="1" w:evenHBand="0" w:firstRowFirstColumn="0" w:firstRowLastColumn="0" w:lastRowFirstColumn="0" w:lastRowLastColumn="0"/>
              <w:rPr>
                <w:rFonts w:cs="Arial"/>
                <w:szCs w:val="24"/>
              </w:rPr>
            </w:pPr>
          </w:p>
        </w:tc>
      </w:tr>
      <w:tr w:rsidR="00CA4D7B" w:rsidRPr="0059218B" w14:paraId="36197D79" w14:textId="77777777" w:rsidTr="00EA26AA">
        <w:trPr>
          <w:trHeight w:val="146"/>
        </w:trPr>
        <w:tc>
          <w:tcPr>
            <w:cnfStyle w:val="001000000000" w:firstRow="0" w:lastRow="0" w:firstColumn="1" w:lastColumn="0" w:oddVBand="0" w:evenVBand="0" w:oddHBand="0" w:evenHBand="0" w:firstRowFirstColumn="0" w:firstRowLastColumn="0" w:lastRowFirstColumn="0" w:lastRowLastColumn="0"/>
            <w:tcW w:w="6096" w:type="dxa"/>
          </w:tcPr>
          <w:p w14:paraId="3821A3D8" w14:textId="4B749D48" w:rsidR="00CA4D7B" w:rsidRPr="0059218B" w:rsidRDefault="00CA4D7B" w:rsidP="00CA4D7B">
            <w:pPr>
              <w:rPr>
                <w:rFonts w:cs="Arial"/>
                <w:b w:val="0"/>
                <w:bCs w:val="0"/>
                <w:szCs w:val="24"/>
              </w:rPr>
            </w:pPr>
            <w:r w:rsidRPr="0059218B">
              <w:rPr>
                <w:rFonts w:cs="Arial"/>
                <w:b w:val="0"/>
                <w:bCs w:val="0"/>
                <w:szCs w:val="24"/>
              </w:rPr>
              <w:t xml:space="preserve">Unpaid care for child/children </w:t>
            </w:r>
          </w:p>
        </w:tc>
        <w:tc>
          <w:tcPr>
            <w:tcW w:w="3260" w:type="dxa"/>
            <w:vAlign w:val="center"/>
          </w:tcPr>
          <w:p w14:paraId="7D9772BB" w14:textId="6A8B649D" w:rsidR="00CA4D7B" w:rsidRPr="0059218B" w:rsidRDefault="00CA4D7B"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34.0</w:t>
            </w:r>
          </w:p>
        </w:tc>
      </w:tr>
      <w:tr w:rsidR="00CA4D7B" w:rsidRPr="0059218B" w14:paraId="6ECBF7A9" w14:textId="77777777" w:rsidTr="00EA26A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0C3C94C2" w14:textId="59A1D9FC" w:rsidR="00CA4D7B" w:rsidRPr="0059218B" w:rsidRDefault="150B919F" w:rsidP="41ED6CC6">
            <w:pPr>
              <w:rPr>
                <w:rFonts w:cs="Arial"/>
                <w:b w:val="0"/>
                <w:bCs w:val="0"/>
              </w:rPr>
            </w:pPr>
            <w:r w:rsidRPr="41ED6CC6">
              <w:rPr>
                <w:rFonts w:cs="Arial"/>
                <w:b w:val="0"/>
                <w:bCs w:val="0"/>
              </w:rPr>
              <w:t xml:space="preserve">Unpaid assistance to a person with disability, with a health condition or due to old age </w:t>
            </w:r>
          </w:p>
        </w:tc>
        <w:tc>
          <w:tcPr>
            <w:tcW w:w="3260" w:type="dxa"/>
            <w:vAlign w:val="center"/>
          </w:tcPr>
          <w:p w14:paraId="0B239306" w14:textId="29515121" w:rsidR="00CA4D7B" w:rsidRPr="0059218B" w:rsidRDefault="00CA4D7B"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szCs w:val="24"/>
              </w:rPr>
              <w:t>20.7</w:t>
            </w:r>
          </w:p>
        </w:tc>
      </w:tr>
      <w:tr w:rsidR="00EA26AA" w:rsidRPr="0059218B" w14:paraId="76745341"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shd w:val="clear" w:color="auto" w:fill="F2CEED" w:themeFill="accent5" w:themeFillTint="33"/>
            <w:vAlign w:val="center"/>
          </w:tcPr>
          <w:p w14:paraId="1EAD03D8" w14:textId="77777777" w:rsidR="00EA26AA" w:rsidRPr="0059218B" w:rsidRDefault="00EA26AA" w:rsidP="004A432F">
            <w:pPr>
              <w:rPr>
                <w:rFonts w:cs="Arial"/>
                <w:b w:val="0"/>
                <w:bCs w:val="0"/>
                <w:szCs w:val="24"/>
              </w:rPr>
            </w:pPr>
            <w:r w:rsidRPr="0059218B">
              <w:rPr>
                <w:rFonts w:cs="Arial"/>
                <w:szCs w:val="24"/>
              </w:rPr>
              <w:t xml:space="preserve">Country of birth (broad) </w:t>
            </w:r>
          </w:p>
        </w:tc>
        <w:tc>
          <w:tcPr>
            <w:tcW w:w="3260" w:type="dxa"/>
            <w:shd w:val="clear" w:color="auto" w:fill="F2CEED" w:themeFill="accent5" w:themeFillTint="33"/>
            <w:vAlign w:val="center"/>
          </w:tcPr>
          <w:p w14:paraId="3784A32A" w14:textId="074289CC" w:rsidR="00EA26AA" w:rsidRPr="0059218B" w:rsidRDefault="00EA26AA" w:rsidP="004A432F">
            <w:pPr>
              <w:cnfStyle w:val="000000000000" w:firstRow="0" w:lastRow="0" w:firstColumn="0" w:lastColumn="0" w:oddVBand="0" w:evenVBand="0" w:oddHBand="0" w:evenHBand="0" w:firstRowFirstColumn="0" w:firstRowLastColumn="0" w:lastRowFirstColumn="0" w:lastRowLastColumn="0"/>
              <w:rPr>
                <w:rFonts w:cs="Arial"/>
                <w:szCs w:val="24"/>
              </w:rPr>
            </w:pPr>
          </w:p>
        </w:tc>
      </w:tr>
      <w:tr w:rsidR="00C2365D" w:rsidRPr="0059218B" w14:paraId="1DD4982A"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67AACC03" w14:textId="62E19EA2" w:rsidR="00C2365D" w:rsidRPr="0059218B" w:rsidRDefault="00C2365D">
            <w:pPr>
              <w:rPr>
                <w:rFonts w:cs="Arial"/>
                <w:b w:val="0"/>
                <w:bCs w:val="0"/>
                <w:szCs w:val="24"/>
              </w:rPr>
            </w:pPr>
            <w:r w:rsidRPr="0059218B">
              <w:rPr>
                <w:rFonts w:eastAsia="Times New Roman" w:cs="Arial"/>
                <w:b w:val="0"/>
                <w:bCs w:val="0"/>
                <w:color w:val="000000"/>
                <w:szCs w:val="24"/>
              </w:rPr>
              <w:t xml:space="preserve">Australian </w:t>
            </w:r>
            <w:r w:rsidR="0001295F">
              <w:rPr>
                <w:rFonts w:eastAsia="Times New Roman" w:cs="Arial"/>
                <w:b w:val="0"/>
                <w:bCs w:val="0"/>
                <w:color w:val="000000"/>
                <w:szCs w:val="24"/>
              </w:rPr>
              <w:t>b</w:t>
            </w:r>
            <w:r w:rsidRPr="0059218B">
              <w:rPr>
                <w:rFonts w:eastAsia="Times New Roman" w:cs="Arial"/>
                <w:b w:val="0"/>
                <w:bCs w:val="0"/>
                <w:color w:val="000000"/>
                <w:szCs w:val="24"/>
              </w:rPr>
              <w:t>orn</w:t>
            </w:r>
          </w:p>
        </w:tc>
        <w:tc>
          <w:tcPr>
            <w:tcW w:w="3260" w:type="dxa"/>
            <w:vAlign w:val="center"/>
          </w:tcPr>
          <w:p w14:paraId="1E618268" w14:textId="6F7DECB5"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szCs w:val="24"/>
              </w:rPr>
              <w:t>66.6</w:t>
            </w:r>
          </w:p>
        </w:tc>
      </w:tr>
      <w:tr w:rsidR="00C2365D" w:rsidRPr="0059218B" w14:paraId="5170C476"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7FDE4890" w14:textId="23FEA464" w:rsidR="00C2365D" w:rsidRPr="0059218B" w:rsidRDefault="00C2365D">
            <w:pPr>
              <w:rPr>
                <w:rFonts w:cs="Arial"/>
                <w:b w:val="0"/>
                <w:bCs w:val="0"/>
                <w:szCs w:val="24"/>
              </w:rPr>
            </w:pPr>
            <w:r w:rsidRPr="0059218B">
              <w:rPr>
                <w:rFonts w:eastAsia="Times New Roman" w:cs="Arial"/>
                <w:b w:val="0"/>
                <w:bCs w:val="0"/>
                <w:color w:val="000000"/>
                <w:szCs w:val="24"/>
              </w:rPr>
              <w:t xml:space="preserve">Born </w:t>
            </w:r>
            <w:r w:rsidR="0001295F">
              <w:rPr>
                <w:rFonts w:eastAsia="Times New Roman" w:cs="Arial"/>
                <w:b w:val="0"/>
                <w:bCs w:val="0"/>
                <w:color w:val="000000"/>
                <w:szCs w:val="24"/>
              </w:rPr>
              <w:t>o</w:t>
            </w:r>
            <w:r w:rsidRPr="0059218B">
              <w:rPr>
                <w:rFonts w:eastAsia="Times New Roman" w:cs="Arial"/>
                <w:b w:val="0"/>
                <w:bCs w:val="0"/>
                <w:color w:val="000000"/>
                <w:szCs w:val="24"/>
              </w:rPr>
              <w:t>verseas</w:t>
            </w:r>
          </w:p>
        </w:tc>
        <w:tc>
          <w:tcPr>
            <w:tcW w:w="3260" w:type="dxa"/>
            <w:vAlign w:val="center"/>
          </w:tcPr>
          <w:p w14:paraId="0D92BD31" w14:textId="4D15E024"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33.4</w:t>
            </w:r>
          </w:p>
        </w:tc>
      </w:tr>
      <w:tr w:rsidR="00EA26AA" w:rsidRPr="0059218B" w14:paraId="47072A86"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shd w:val="clear" w:color="auto" w:fill="F2CEED" w:themeFill="accent5" w:themeFillTint="33"/>
            <w:vAlign w:val="center"/>
          </w:tcPr>
          <w:p w14:paraId="6A219525" w14:textId="77777777" w:rsidR="00EA26AA" w:rsidRPr="0059218B" w:rsidRDefault="00EA26AA" w:rsidP="004A432F">
            <w:pPr>
              <w:rPr>
                <w:rFonts w:cs="Arial"/>
                <w:b w:val="0"/>
                <w:bCs w:val="0"/>
                <w:szCs w:val="24"/>
              </w:rPr>
            </w:pPr>
            <w:r w:rsidRPr="0059218B">
              <w:rPr>
                <w:rFonts w:cs="Arial"/>
                <w:szCs w:val="24"/>
              </w:rPr>
              <w:t xml:space="preserve">Country of birth by region </w:t>
            </w:r>
          </w:p>
        </w:tc>
        <w:tc>
          <w:tcPr>
            <w:tcW w:w="3260" w:type="dxa"/>
            <w:shd w:val="clear" w:color="auto" w:fill="F2CEED" w:themeFill="accent5" w:themeFillTint="33"/>
            <w:vAlign w:val="center"/>
          </w:tcPr>
          <w:p w14:paraId="768E2AA6" w14:textId="0058CF9E" w:rsidR="00EA26AA" w:rsidRPr="0059218B" w:rsidRDefault="00EA26AA" w:rsidP="004A432F">
            <w:pPr>
              <w:cnfStyle w:val="000000100000" w:firstRow="0" w:lastRow="0" w:firstColumn="0" w:lastColumn="0" w:oddVBand="0" w:evenVBand="0" w:oddHBand="1" w:evenHBand="0" w:firstRowFirstColumn="0" w:firstRowLastColumn="0" w:lastRowFirstColumn="0" w:lastRowLastColumn="0"/>
              <w:rPr>
                <w:rFonts w:cs="Arial"/>
                <w:szCs w:val="24"/>
              </w:rPr>
            </w:pPr>
          </w:p>
        </w:tc>
      </w:tr>
      <w:tr w:rsidR="00C2365D" w:rsidRPr="0059218B" w14:paraId="12DED1C5"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78F73935" w14:textId="77777777" w:rsidR="00C2365D" w:rsidRPr="0059218B" w:rsidRDefault="00C2365D">
            <w:pPr>
              <w:rPr>
                <w:rFonts w:cs="Arial"/>
                <w:b w:val="0"/>
                <w:bCs w:val="0"/>
                <w:szCs w:val="24"/>
              </w:rPr>
            </w:pPr>
            <w:r w:rsidRPr="0059218B">
              <w:rPr>
                <w:rFonts w:eastAsia="Times New Roman" w:cs="Arial"/>
                <w:b w:val="0"/>
                <w:bCs w:val="0"/>
                <w:color w:val="000000"/>
                <w:szCs w:val="24"/>
              </w:rPr>
              <w:t>Oceania and Antarctica (including Australia)</w:t>
            </w:r>
          </w:p>
        </w:tc>
        <w:tc>
          <w:tcPr>
            <w:tcW w:w="3260" w:type="dxa"/>
            <w:vAlign w:val="center"/>
          </w:tcPr>
          <w:p w14:paraId="3F5AA0FD" w14:textId="3E64591A"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70.2</w:t>
            </w:r>
          </w:p>
        </w:tc>
      </w:tr>
      <w:tr w:rsidR="00C2365D" w:rsidRPr="0059218B" w14:paraId="762A7DAF"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09222D77" w14:textId="4B2C2669" w:rsidR="00C2365D" w:rsidRPr="0059218B" w:rsidRDefault="00C2365D">
            <w:pPr>
              <w:rPr>
                <w:rFonts w:cs="Arial"/>
                <w:b w:val="0"/>
                <w:bCs w:val="0"/>
                <w:szCs w:val="24"/>
              </w:rPr>
            </w:pPr>
            <w:r w:rsidRPr="0059218B">
              <w:rPr>
                <w:rFonts w:eastAsia="Times New Roman" w:cs="Arial"/>
                <w:b w:val="0"/>
                <w:bCs w:val="0"/>
                <w:color w:val="000000"/>
                <w:szCs w:val="24"/>
              </w:rPr>
              <w:t>North-</w:t>
            </w:r>
            <w:r w:rsidR="0001295F">
              <w:rPr>
                <w:rFonts w:eastAsia="Times New Roman" w:cs="Arial"/>
                <w:b w:val="0"/>
                <w:bCs w:val="0"/>
                <w:color w:val="000000"/>
                <w:szCs w:val="24"/>
              </w:rPr>
              <w:t>e</w:t>
            </w:r>
            <w:r w:rsidRPr="0059218B">
              <w:rPr>
                <w:rFonts w:eastAsia="Times New Roman" w:cs="Arial"/>
                <w:b w:val="0"/>
                <w:bCs w:val="0"/>
                <w:color w:val="000000"/>
                <w:szCs w:val="24"/>
              </w:rPr>
              <w:t xml:space="preserve">ast Asian </w:t>
            </w:r>
            <w:r w:rsidR="0001295F">
              <w:rPr>
                <w:rFonts w:eastAsia="Times New Roman" w:cs="Arial"/>
                <w:b w:val="0"/>
                <w:bCs w:val="0"/>
                <w:color w:val="000000"/>
                <w:szCs w:val="24"/>
              </w:rPr>
              <w:t>b</w:t>
            </w:r>
            <w:r w:rsidRPr="0059218B">
              <w:rPr>
                <w:rFonts w:eastAsia="Times New Roman" w:cs="Arial"/>
                <w:b w:val="0"/>
                <w:bCs w:val="0"/>
                <w:color w:val="000000"/>
                <w:szCs w:val="24"/>
              </w:rPr>
              <w:t>orn</w:t>
            </w:r>
          </w:p>
        </w:tc>
        <w:tc>
          <w:tcPr>
            <w:tcW w:w="3260" w:type="dxa"/>
            <w:vAlign w:val="center"/>
          </w:tcPr>
          <w:p w14:paraId="7F36D8DC" w14:textId="6B751C0E"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szCs w:val="24"/>
              </w:rPr>
              <w:t>3.9</w:t>
            </w:r>
          </w:p>
        </w:tc>
      </w:tr>
      <w:tr w:rsidR="00C2365D" w:rsidRPr="0059218B" w14:paraId="0BF200CD"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572495E3" w14:textId="52516856" w:rsidR="00C2365D" w:rsidRPr="0059218B" w:rsidRDefault="00C2365D">
            <w:pPr>
              <w:rPr>
                <w:rFonts w:cs="Arial"/>
                <w:b w:val="0"/>
                <w:bCs w:val="0"/>
                <w:szCs w:val="24"/>
              </w:rPr>
            </w:pPr>
            <w:r w:rsidRPr="0059218B">
              <w:rPr>
                <w:rFonts w:eastAsia="Times New Roman" w:cs="Arial"/>
                <w:b w:val="0"/>
                <w:bCs w:val="0"/>
                <w:color w:val="000000"/>
                <w:szCs w:val="24"/>
              </w:rPr>
              <w:t xml:space="preserve">Southern and Central Asian </w:t>
            </w:r>
            <w:r w:rsidR="0001295F">
              <w:rPr>
                <w:rFonts w:eastAsia="Times New Roman" w:cs="Arial"/>
                <w:b w:val="0"/>
                <w:bCs w:val="0"/>
                <w:color w:val="000000"/>
                <w:szCs w:val="24"/>
              </w:rPr>
              <w:t>b</w:t>
            </w:r>
            <w:r w:rsidRPr="0059218B">
              <w:rPr>
                <w:rFonts w:eastAsia="Times New Roman" w:cs="Arial"/>
                <w:b w:val="0"/>
                <w:bCs w:val="0"/>
                <w:color w:val="000000"/>
                <w:szCs w:val="24"/>
              </w:rPr>
              <w:t>orn </w:t>
            </w:r>
          </w:p>
        </w:tc>
        <w:tc>
          <w:tcPr>
            <w:tcW w:w="3260" w:type="dxa"/>
            <w:vAlign w:val="center"/>
          </w:tcPr>
          <w:p w14:paraId="31971449" w14:textId="5BD7B027"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6.5</w:t>
            </w:r>
          </w:p>
        </w:tc>
      </w:tr>
      <w:tr w:rsidR="00C2365D" w:rsidRPr="0059218B" w14:paraId="7DFEAEB1"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5E156880" w14:textId="77F6A0EB" w:rsidR="00C2365D" w:rsidRPr="0059218B" w:rsidRDefault="00C2365D">
            <w:pPr>
              <w:rPr>
                <w:rFonts w:cs="Arial"/>
                <w:b w:val="0"/>
                <w:bCs w:val="0"/>
                <w:szCs w:val="24"/>
              </w:rPr>
            </w:pPr>
            <w:r w:rsidRPr="0059218B">
              <w:rPr>
                <w:rFonts w:eastAsia="Times New Roman" w:cs="Arial"/>
                <w:b w:val="0"/>
                <w:bCs w:val="0"/>
                <w:color w:val="000000"/>
                <w:szCs w:val="24"/>
              </w:rPr>
              <w:t xml:space="preserve">South-East Asian </w:t>
            </w:r>
            <w:r w:rsidR="0001295F">
              <w:rPr>
                <w:rFonts w:eastAsia="Times New Roman" w:cs="Arial"/>
                <w:b w:val="0"/>
                <w:bCs w:val="0"/>
                <w:color w:val="000000"/>
                <w:szCs w:val="24"/>
              </w:rPr>
              <w:t>b</w:t>
            </w:r>
            <w:r w:rsidRPr="0059218B">
              <w:rPr>
                <w:rFonts w:eastAsia="Times New Roman" w:cs="Arial"/>
                <w:b w:val="0"/>
                <w:bCs w:val="0"/>
                <w:color w:val="000000"/>
                <w:szCs w:val="24"/>
              </w:rPr>
              <w:t>orn </w:t>
            </w:r>
          </w:p>
        </w:tc>
        <w:tc>
          <w:tcPr>
            <w:tcW w:w="3260" w:type="dxa"/>
            <w:vAlign w:val="center"/>
          </w:tcPr>
          <w:p w14:paraId="7656E0E5" w14:textId="14BCF999"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szCs w:val="24"/>
              </w:rPr>
              <w:t>5.2</w:t>
            </w:r>
          </w:p>
        </w:tc>
      </w:tr>
      <w:tr w:rsidR="00C2365D" w:rsidRPr="0059218B" w14:paraId="308A9D09"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2E80C618" w14:textId="308E621B" w:rsidR="00C2365D" w:rsidRPr="0059218B" w:rsidRDefault="00C2365D">
            <w:pPr>
              <w:rPr>
                <w:rFonts w:cs="Arial"/>
                <w:b w:val="0"/>
                <w:bCs w:val="0"/>
                <w:szCs w:val="24"/>
              </w:rPr>
            </w:pPr>
            <w:r w:rsidRPr="0059218B">
              <w:rPr>
                <w:rFonts w:eastAsia="Times New Roman" w:cs="Arial"/>
                <w:b w:val="0"/>
                <w:bCs w:val="0"/>
                <w:color w:val="000000"/>
                <w:szCs w:val="24"/>
              </w:rPr>
              <w:t>North-</w:t>
            </w:r>
            <w:r w:rsidR="0001295F">
              <w:rPr>
                <w:rFonts w:eastAsia="Times New Roman" w:cs="Arial"/>
                <w:b w:val="0"/>
                <w:bCs w:val="0"/>
                <w:color w:val="000000"/>
                <w:szCs w:val="24"/>
              </w:rPr>
              <w:t>w</w:t>
            </w:r>
            <w:r w:rsidRPr="0059218B">
              <w:rPr>
                <w:rFonts w:eastAsia="Times New Roman" w:cs="Arial"/>
                <w:b w:val="0"/>
                <w:bCs w:val="0"/>
                <w:color w:val="000000"/>
                <w:szCs w:val="24"/>
              </w:rPr>
              <w:t xml:space="preserve">est European </w:t>
            </w:r>
            <w:r w:rsidR="0001295F">
              <w:rPr>
                <w:rFonts w:eastAsia="Times New Roman" w:cs="Arial"/>
                <w:b w:val="0"/>
                <w:bCs w:val="0"/>
                <w:color w:val="000000"/>
                <w:szCs w:val="24"/>
              </w:rPr>
              <w:t>b</w:t>
            </w:r>
            <w:r w:rsidRPr="0059218B">
              <w:rPr>
                <w:rFonts w:eastAsia="Times New Roman" w:cs="Arial"/>
                <w:b w:val="0"/>
                <w:bCs w:val="0"/>
                <w:color w:val="000000"/>
                <w:szCs w:val="24"/>
              </w:rPr>
              <w:t>orn</w:t>
            </w:r>
          </w:p>
        </w:tc>
        <w:tc>
          <w:tcPr>
            <w:tcW w:w="3260" w:type="dxa"/>
            <w:vAlign w:val="center"/>
          </w:tcPr>
          <w:p w14:paraId="1D3C620F" w14:textId="0D2073FE"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6.3</w:t>
            </w:r>
          </w:p>
        </w:tc>
      </w:tr>
      <w:tr w:rsidR="00C2365D" w:rsidRPr="0059218B" w14:paraId="0F697FD4"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50B735F7" w14:textId="2CD66D2E" w:rsidR="00C2365D" w:rsidRPr="0059218B" w:rsidRDefault="00C2365D">
            <w:pPr>
              <w:rPr>
                <w:rFonts w:cs="Arial"/>
                <w:b w:val="0"/>
                <w:bCs w:val="0"/>
                <w:szCs w:val="24"/>
              </w:rPr>
            </w:pPr>
            <w:r w:rsidRPr="0059218B">
              <w:rPr>
                <w:rFonts w:eastAsia="Times New Roman" w:cs="Arial"/>
                <w:b w:val="0"/>
                <w:bCs w:val="0"/>
                <w:color w:val="000000"/>
                <w:szCs w:val="24"/>
              </w:rPr>
              <w:t xml:space="preserve">Southern and Eastern Europe </w:t>
            </w:r>
            <w:r w:rsidR="0001295F">
              <w:rPr>
                <w:rFonts w:eastAsia="Times New Roman" w:cs="Arial"/>
                <w:b w:val="0"/>
                <w:bCs w:val="0"/>
                <w:color w:val="000000"/>
                <w:szCs w:val="24"/>
              </w:rPr>
              <w:t>b</w:t>
            </w:r>
            <w:r w:rsidRPr="0059218B">
              <w:rPr>
                <w:rFonts w:eastAsia="Times New Roman" w:cs="Arial"/>
                <w:b w:val="0"/>
                <w:bCs w:val="0"/>
                <w:color w:val="000000"/>
                <w:szCs w:val="24"/>
              </w:rPr>
              <w:t xml:space="preserve">orn </w:t>
            </w:r>
          </w:p>
        </w:tc>
        <w:tc>
          <w:tcPr>
            <w:tcW w:w="3260" w:type="dxa"/>
            <w:vAlign w:val="center"/>
          </w:tcPr>
          <w:p w14:paraId="1F9E1A73" w14:textId="02F2D7A4"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szCs w:val="24"/>
              </w:rPr>
              <w:t>2.0</w:t>
            </w:r>
          </w:p>
        </w:tc>
      </w:tr>
      <w:tr w:rsidR="00C2365D" w:rsidRPr="0059218B" w14:paraId="6D69BC99"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5D599785" w14:textId="5A578687" w:rsidR="00C2365D" w:rsidRPr="0059218B" w:rsidRDefault="00C2365D">
            <w:pPr>
              <w:rPr>
                <w:rFonts w:cs="Arial"/>
                <w:b w:val="0"/>
                <w:bCs w:val="0"/>
                <w:szCs w:val="24"/>
              </w:rPr>
            </w:pPr>
            <w:r w:rsidRPr="0059218B">
              <w:rPr>
                <w:rFonts w:eastAsia="Times New Roman" w:cs="Arial"/>
                <w:b w:val="0"/>
                <w:bCs w:val="0"/>
                <w:color w:val="000000"/>
                <w:szCs w:val="24"/>
              </w:rPr>
              <w:t xml:space="preserve">North Africa and the Middle East </w:t>
            </w:r>
            <w:r w:rsidR="0001295F">
              <w:rPr>
                <w:rFonts w:eastAsia="Times New Roman" w:cs="Arial"/>
                <w:b w:val="0"/>
                <w:bCs w:val="0"/>
                <w:color w:val="000000"/>
                <w:szCs w:val="24"/>
              </w:rPr>
              <w:t>b</w:t>
            </w:r>
            <w:r w:rsidRPr="0059218B">
              <w:rPr>
                <w:rFonts w:eastAsia="Times New Roman" w:cs="Arial"/>
                <w:b w:val="0"/>
                <w:bCs w:val="0"/>
                <w:color w:val="000000"/>
                <w:szCs w:val="24"/>
              </w:rPr>
              <w:t>orn</w:t>
            </w:r>
          </w:p>
        </w:tc>
        <w:tc>
          <w:tcPr>
            <w:tcW w:w="3260" w:type="dxa"/>
            <w:vAlign w:val="center"/>
          </w:tcPr>
          <w:p w14:paraId="5116A94D" w14:textId="53D2F0EA"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1.5</w:t>
            </w:r>
          </w:p>
        </w:tc>
      </w:tr>
      <w:tr w:rsidR="00C2365D" w:rsidRPr="0059218B" w14:paraId="47FC767B"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0C751A51" w14:textId="5500F9B8" w:rsidR="00C2365D" w:rsidRPr="0059218B" w:rsidRDefault="00C2365D">
            <w:pPr>
              <w:rPr>
                <w:rFonts w:cs="Arial"/>
                <w:b w:val="0"/>
                <w:bCs w:val="0"/>
                <w:szCs w:val="24"/>
              </w:rPr>
            </w:pPr>
            <w:r w:rsidRPr="0059218B">
              <w:rPr>
                <w:rFonts w:eastAsia="Times New Roman" w:cs="Arial"/>
                <w:b w:val="0"/>
                <w:bCs w:val="0"/>
                <w:color w:val="000000"/>
                <w:szCs w:val="24"/>
              </w:rPr>
              <w:t xml:space="preserve">Sub-Saharan Africa </w:t>
            </w:r>
            <w:r w:rsidR="0001295F">
              <w:rPr>
                <w:rFonts w:eastAsia="Times New Roman" w:cs="Arial"/>
                <w:b w:val="0"/>
                <w:bCs w:val="0"/>
                <w:color w:val="000000"/>
                <w:szCs w:val="24"/>
              </w:rPr>
              <w:t>b</w:t>
            </w:r>
            <w:r w:rsidRPr="0059218B">
              <w:rPr>
                <w:rFonts w:eastAsia="Times New Roman" w:cs="Arial"/>
                <w:b w:val="0"/>
                <w:bCs w:val="0"/>
                <w:color w:val="000000"/>
                <w:szCs w:val="24"/>
              </w:rPr>
              <w:t>orn</w:t>
            </w:r>
          </w:p>
        </w:tc>
        <w:tc>
          <w:tcPr>
            <w:tcW w:w="3260" w:type="dxa"/>
            <w:vAlign w:val="center"/>
          </w:tcPr>
          <w:p w14:paraId="037F5C16" w14:textId="57FF04CD"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szCs w:val="24"/>
              </w:rPr>
              <w:t>2.0</w:t>
            </w:r>
          </w:p>
        </w:tc>
      </w:tr>
      <w:tr w:rsidR="00C2365D" w:rsidRPr="0059218B" w14:paraId="0ACB22C1"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3B5A3941" w14:textId="790E0508" w:rsidR="00C2365D" w:rsidRPr="0059218B" w:rsidRDefault="00C2365D">
            <w:pPr>
              <w:rPr>
                <w:rFonts w:cs="Arial"/>
                <w:b w:val="0"/>
                <w:bCs w:val="0"/>
                <w:szCs w:val="24"/>
              </w:rPr>
            </w:pPr>
            <w:r w:rsidRPr="0059218B">
              <w:rPr>
                <w:rFonts w:eastAsia="Times New Roman" w:cs="Arial"/>
                <w:b w:val="0"/>
                <w:bCs w:val="0"/>
                <w:color w:val="000000"/>
                <w:szCs w:val="24"/>
              </w:rPr>
              <w:t xml:space="preserve">Americas </w:t>
            </w:r>
            <w:r w:rsidR="0001295F">
              <w:rPr>
                <w:rFonts w:eastAsia="Times New Roman" w:cs="Arial"/>
                <w:b w:val="0"/>
                <w:bCs w:val="0"/>
                <w:color w:val="000000"/>
                <w:szCs w:val="24"/>
              </w:rPr>
              <w:t>b</w:t>
            </w:r>
            <w:r w:rsidRPr="0059218B">
              <w:rPr>
                <w:rFonts w:eastAsia="Times New Roman" w:cs="Arial"/>
                <w:b w:val="0"/>
                <w:bCs w:val="0"/>
                <w:color w:val="000000"/>
                <w:szCs w:val="24"/>
              </w:rPr>
              <w:t>orn</w:t>
            </w:r>
          </w:p>
        </w:tc>
        <w:tc>
          <w:tcPr>
            <w:tcW w:w="3260" w:type="dxa"/>
            <w:vAlign w:val="center"/>
          </w:tcPr>
          <w:p w14:paraId="0F535406" w14:textId="0A559F42" w:rsidR="00C2365D" w:rsidRPr="0059218B" w:rsidRDefault="00C2365D" w:rsidP="00242CD6">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szCs w:val="24"/>
              </w:rPr>
              <w:t>1.8</w:t>
            </w:r>
          </w:p>
        </w:tc>
      </w:tr>
      <w:tr w:rsidR="00C2365D" w:rsidRPr="0059218B" w14:paraId="6D0D5DAB"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2E00FEE9" w14:textId="77777777" w:rsidR="00C2365D" w:rsidRPr="0059218B" w:rsidRDefault="150B919F" w:rsidP="41ED6CC6">
            <w:pPr>
              <w:rPr>
                <w:rFonts w:cs="Arial"/>
                <w:b w:val="0"/>
                <w:bCs w:val="0"/>
              </w:rPr>
            </w:pPr>
            <w:r w:rsidRPr="41ED6CC6">
              <w:rPr>
                <w:rFonts w:eastAsia="Times New Roman" w:cs="Arial"/>
                <w:b w:val="0"/>
                <w:bCs w:val="0"/>
                <w:color w:val="000000" w:themeColor="text1"/>
              </w:rPr>
              <w:t xml:space="preserve">Other (Supplementary codes and not stated) </w:t>
            </w:r>
          </w:p>
        </w:tc>
        <w:tc>
          <w:tcPr>
            <w:tcW w:w="3260" w:type="dxa"/>
            <w:vAlign w:val="center"/>
          </w:tcPr>
          <w:p w14:paraId="773FFE58" w14:textId="41A6607E" w:rsidR="00C2365D" w:rsidRPr="0059218B" w:rsidRDefault="00C2365D" w:rsidP="00242CD6">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szCs w:val="24"/>
              </w:rPr>
              <w:t>0.6</w:t>
            </w:r>
          </w:p>
        </w:tc>
      </w:tr>
      <w:tr w:rsidR="00EA26AA" w:rsidRPr="0059218B" w14:paraId="0530CCDA"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shd w:val="clear" w:color="auto" w:fill="F2CEED" w:themeFill="accent5" w:themeFillTint="33"/>
            <w:vAlign w:val="center"/>
          </w:tcPr>
          <w:p w14:paraId="05E06E1E" w14:textId="77777777" w:rsidR="00EA26AA" w:rsidRPr="0059218B" w:rsidRDefault="00EA26AA" w:rsidP="004A432F">
            <w:pPr>
              <w:rPr>
                <w:rFonts w:cs="Arial"/>
                <w:b w:val="0"/>
                <w:bCs w:val="0"/>
                <w:szCs w:val="24"/>
              </w:rPr>
            </w:pPr>
            <w:bookmarkStart w:id="18" w:name="_Hlk119061614"/>
            <w:r w:rsidRPr="0059218B">
              <w:rPr>
                <w:rFonts w:cs="Arial"/>
                <w:szCs w:val="24"/>
              </w:rPr>
              <w:t xml:space="preserve">Religious </w:t>
            </w:r>
            <w:r>
              <w:rPr>
                <w:rFonts w:cs="Arial"/>
                <w:szCs w:val="24"/>
              </w:rPr>
              <w:t>a</w:t>
            </w:r>
            <w:r w:rsidRPr="0059218B">
              <w:rPr>
                <w:rFonts w:cs="Arial"/>
                <w:szCs w:val="24"/>
              </w:rPr>
              <w:t xml:space="preserve">ffiliation </w:t>
            </w:r>
          </w:p>
        </w:tc>
        <w:tc>
          <w:tcPr>
            <w:tcW w:w="3260" w:type="dxa"/>
            <w:shd w:val="clear" w:color="auto" w:fill="F2CEED" w:themeFill="accent5" w:themeFillTint="33"/>
            <w:vAlign w:val="center"/>
          </w:tcPr>
          <w:p w14:paraId="3B8F5807" w14:textId="654AE92E" w:rsidR="00EA26AA" w:rsidRPr="0059218B" w:rsidRDefault="00EA26AA" w:rsidP="004A432F">
            <w:pPr>
              <w:cnfStyle w:val="000000000000" w:firstRow="0" w:lastRow="0" w:firstColumn="0" w:lastColumn="0" w:oddVBand="0" w:evenVBand="0" w:oddHBand="0" w:evenHBand="0" w:firstRowFirstColumn="0" w:firstRowLastColumn="0" w:lastRowFirstColumn="0" w:lastRowLastColumn="0"/>
              <w:rPr>
                <w:rFonts w:cs="Arial"/>
                <w:szCs w:val="24"/>
              </w:rPr>
            </w:pPr>
          </w:p>
        </w:tc>
      </w:tr>
      <w:tr w:rsidR="00C2365D" w:rsidRPr="0059218B" w14:paraId="7CE2D410"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3C2F8589" w14:textId="77777777" w:rsidR="00C2365D" w:rsidRPr="0059218B" w:rsidRDefault="00C2365D">
            <w:pPr>
              <w:rPr>
                <w:rFonts w:cs="Arial"/>
                <w:b w:val="0"/>
                <w:bCs w:val="0"/>
                <w:szCs w:val="24"/>
              </w:rPr>
            </w:pPr>
            <w:r w:rsidRPr="0059218B">
              <w:rPr>
                <w:rFonts w:cs="Arial"/>
                <w:b w:val="0"/>
                <w:bCs w:val="0"/>
                <w:color w:val="000000"/>
                <w:szCs w:val="24"/>
              </w:rPr>
              <w:t>Buddhism</w:t>
            </w:r>
          </w:p>
        </w:tc>
        <w:tc>
          <w:tcPr>
            <w:tcW w:w="3260" w:type="dxa"/>
            <w:vAlign w:val="center"/>
          </w:tcPr>
          <w:p w14:paraId="0622B768" w14:textId="5B014FF9" w:rsidR="00C2365D" w:rsidRPr="0059218B" w:rsidRDefault="00C2365D" w:rsidP="004A432F">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color w:val="000000"/>
                <w:szCs w:val="24"/>
              </w:rPr>
              <w:t>2.7</w:t>
            </w:r>
          </w:p>
        </w:tc>
      </w:tr>
      <w:tr w:rsidR="00C2365D" w:rsidRPr="0059218B" w14:paraId="023D9B8C"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24EE6E5D" w14:textId="77777777" w:rsidR="00C2365D" w:rsidRPr="0059218B" w:rsidRDefault="00C2365D">
            <w:pPr>
              <w:rPr>
                <w:rFonts w:cs="Arial"/>
                <w:b w:val="0"/>
                <w:bCs w:val="0"/>
                <w:szCs w:val="24"/>
              </w:rPr>
            </w:pPr>
            <w:r w:rsidRPr="0059218B">
              <w:rPr>
                <w:rFonts w:cs="Arial"/>
                <w:b w:val="0"/>
                <w:bCs w:val="0"/>
                <w:color w:val="000000"/>
                <w:szCs w:val="24"/>
              </w:rPr>
              <w:t>Christianity</w:t>
            </w:r>
          </w:p>
        </w:tc>
        <w:tc>
          <w:tcPr>
            <w:tcW w:w="3260" w:type="dxa"/>
            <w:vAlign w:val="center"/>
          </w:tcPr>
          <w:p w14:paraId="6A0CA5B2" w14:textId="228EE042" w:rsidR="00C2365D" w:rsidRPr="0059218B" w:rsidRDefault="00C2365D" w:rsidP="004A432F">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color w:val="000000"/>
                <w:szCs w:val="24"/>
              </w:rPr>
              <w:t>43.8</w:t>
            </w:r>
          </w:p>
        </w:tc>
      </w:tr>
      <w:tr w:rsidR="00C2365D" w:rsidRPr="0059218B" w14:paraId="247321A8"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10850355" w14:textId="77777777" w:rsidR="00C2365D" w:rsidRPr="0059218B" w:rsidRDefault="00C2365D">
            <w:pPr>
              <w:rPr>
                <w:rFonts w:cs="Arial"/>
                <w:b w:val="0"/>
                <w:bCs w:val="0"/>
                <w:szCs w:val="24"/>
              </w:rPr>
            </w:pPr>
            <w:r w:rsidRPr="0059218B">
              <w:rPr>
                <w:rFonts w:cs="Arial"/>
                <w:b w:val="0"/>
                <w:bCs w:val="0"/>
                <w:color w:val="000000"/>
                <w:szCs w:val="24"/>
              </w:rPr>
              <w:t>Hinduism</w:t>
            </w:r>
          </w:p>
        </w:tc>
        <w:tc>
          <w:tcPr>
            <w:tcW w:w="3260" w:type="dxa"/>
            <w:vAlign w:val="center"/>
          </w:tcPr>
          <w:p w14:paraId="59DD9392" w14:textId="5019DA47" w:rsidR="00C2365D" w:rsidRPr="0059218B" w:rsidRDefault="00C2365D" w:rsidP="004A432F">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color w:val="000000"/>
                <w:szCs w:val="24"/>
              </w:rPr>
              <w:t>3.4</w:t>
            </w:r>
          </w:p>
        </w:tc>
      </w:tr>
      <w:tr w:rsidR="00C2365D" w:rsidRPr="0059218B" w14:paraId="6D72BC89"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6FDEE6CC" w14:textId="77777777" w:rsidR="00C2365D" w:rsidRPr="0059218B" w:rsidRDefault="00C2365D">
            <w:pPr>
              <w:rPr>
                <w:rFonts w:cs="Arial"/>
                <w:b w:val="0"/>
                <w:bCs w:val="0"/>
                <w:szCs w:val="24"/>
              </w:rPr>
            </w:pPr>
            <w:r w:rsidRPr="0059218B">
              <w:rPr>
                <w:rFonts w:cs="Arial"/>
                <w:b w:val="0"/>
                <w:bCs w:val="0"/>
                <w:color w:val="000000"/>
                <w:szCs w:val="24"/>
              </w:rPr>
              <w:t>Islam</w:t>
            </w:r>
          </w:p>
        </w:tc>
        <w:tc>
          <w:tcPr>
            <w:tcW w:w="3260" w:type="dxa"/>
            <w:vAlign w:val="center"/>
          </w:tcPr>
          <w:p w14:paraId="554905DC" w14:textId="0191319F" w:rsidR="00C2365D" w:rsidRPr="0059218B" w:rsidRDefault="00C2365D" w:rsidP="004A432F">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color w:val="000000"/>
                <w:szCs w:val="24"/>
              </w:rPr>
              <w:t>2.4</w:t>
            </w:r>
          </w:p>
        </w:tc>
      </w:tr>
      <w:tr w:rsidR="00C2365D" w:rsidRPr="0059218B" w14:paraId="41DD46E7"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65B7B806" w14:textId="77777777" w:rsidR="00C2365D" w:rsidRPr="0059218B" w:rsidRDefault="00C2365D">
            <w:pPr>
              <w:rPr>
                <w:rFonts w:cs="Arial"/>
                <w:b w:val="0"/>
                <w:bCs w:val="0"/>
                <w:szCs w:val="24"/>
              </w:rPr>
            </w:pPr>
            <w:r w:rsidRPr="0059218B">
              <w:rPr>
                <w:rFonts w:cs="Arial"/>
                <w:b w:val="0"/>
                <w:bCs w:val="0"/>
                <w:color w:val="000000"/>
                <w:szCs w:val="24"/>
              </w:rPr>
              <w:t>Judaism</w:t>
            </w:r>
          </w:p>
        </w:tc>
        <w:tc>
          <w:tcPr>
            <w:tcW w:w="3260" w:type="dxa"/>
            <w:vAlign w:val="center"/>
          </w:tcPr>
          <w:p w14:paraId="541B9984" w14:textId="72A827D3" w:rsidR="00C2365D" w:rsidRPr="0059218B" w:rsidRDefault="00C2365D" w:rsidP="004A432F">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color w:val="000000"/>
                <w:szCs w:val="24"/>
              </w:rPr>
              <w:t>0.4</w:t>
            </w:r>
          </w:p>
        </w:tc>
      </w:tr>
      <w:tr w:rsidR="00C2365D" w:rsidRPr="0059218B" w14:paraId="64B64128"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60F5DF9C" w14:textId="77777777" w:rsidR="00C2365D" w:rsidRPr="0059218B" w:rsidRDefault="00C2365D">
            <w:pPr>
              <w:rPr>
                <w:rFonts w:cs="Arial"/>
                <w:b w:val="0"/>
                <w:bCs w:val="0"/>
                <w:szCs w:val="24"/>
              </w:rPr>
            </w:pPr>
            <w:r w:rsidRPr="0059218B">
              <w:rPr>
                <w:rFonts w:cs="Arial"/>
                <w:b w:val="0"/>
                <w:bCs w:val="0"/>
                <w:color w:val="000000"/>
                <w:szCs w:val="24"/>
              </w:rPr>
              <w:t>No religion</w:t>
            </w:r>
          </w:p>
        </w:tc>
        <w:tc>
          <w:tcPr>
            <w:tcW w:w="3260" w:type="dxa"/>
            <w:vAlign w:val="center"/>
          </w:tcPr>
          <w:p w14:paraId="53905FC1" w14:textId="4FF15FF2" w:rsidR="00C2365D" w:rsidRPr="0059218B" w:rsidRDefault="00C2365D" w:rsidP="004A432F">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color w:val="000000"/>
                <w:szCs w:val="24"/>
              </w:rPr>
              <w:t>43.8</w:t>
            </w:r>
          </w:p>
        </w:tc>
      </w:tr>
      <w:tr w:rsidR="00C2365D" w:rsidRPr="0059218B" w14:paraId="70D6B347" w14:textId="77777777" w:rsidTr="00EA26A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3EEE97C3" w14:textId="77777777" w:rsidR="00C2365D" w:rsidRPr="0059218B" w:rsidRDefault="00C2365D">
            <w:pPr>
              <w:rPr>
                <w:rFonts w:cs="Arial"/>
                <w:b w:val="0"/>
                <w:bCs w:val="0"/>
                <w:szCs w:val="24"/>
              </w:rPr>
            </w:pPr>
            <w:r w:rsidRPr="0059218B">
              <w:rPr>
                <w:rFonts w:cs="Arial"/>
                <w:b w:val="0"/>
                <w:bCs w:val="0"/>
                <w:color w:val="000000"/>
                <w:szCs w:val="24"/>
              </w:rPr>
              <w:t xml:space="preserve">Other not listed </w:t>
            </w:r>
          </w:p>
        </w:tc>
        <w:tc>
          <w:tcPr>
            <w:tcW w:w="3260" w:type="dxa"/>
            <w:vAlign w:val="center"/>
          </w:tcPr>
          <w:p w14:paraId="6240F3D2" w14:textId="4129DBD6" w:rsidR="00C2365D" w:rsidRPr="0059218B" w:rsidRDefault="00C2365D" w:rsidP="004A432F">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218B">
              <w:rPr>
                <w:rFonts w:cs="Arial"/>
                <w:color w:val="000000"/>
                <w:szCs w:val="24"/>
              </w:rPr>
              <w:t>1.4</w:t>
            </w:r>
          </w:p>
        </w:tc>
      </w:tr>
      <w:tr w:rsidR="00C2365D" w:rsidRPr="0059218B" w14:paraId="733F37F4" w14:textId="77777777" w:rsidTr="00EA26AA">
        <w:trPr>
          <w:trHeight w:val="157"/>
        </w:trPr>
        <w:tc>
          <w:tcPr>
            <w:cnfStyle w:val="001000000000" w:firstRow="0" w:lastRow="0" w:firstColumn="1" w:lastColumn="0" w:oddVBand="0" w:evenVBand="0" w:oddHBand="0" w:evenHBand="0" w:firstRowFirstColumn="0" w:firstRowLastColumn="0" w:lastRowFirstColumn="0" w:lastRowLastColumn="0"/>
            <w:tcW w:w="6096" w:type="dxa"/>
            <w:vAlign w:val="bottom"/>
          </w:tcPr>
          <w:p w14:paraId="77A88B86" w14:textId="73EF98B6" w:rsidR="00C2365D" w:rsidRPr="0059218B" w:rsidRDefault="150B919F" w:rsidP="41ED6CC6">
            <w:pPr>
              <w:rPr>
                <w:rFonts w:cs="Arial"/>
                <w:b w:val="0"/>
                <w:bCs w:val="0"/>
              </w:rPr>
            </w:pPr>
            <w:r w:rsidRPr="41ED6CC6">
              <w:rPr>
                <w:rFonts w:cs="Arial"/>
                <w:b w:val="0"/>
                <w:bCs w:val="0"/>
                <w:color w:val="000000" w:themeColor="text1"/>
              </w:rPr>
              <w:t xml:space="preserve">Prefer not to say &amp; Inadequately described </w:t>
            </w:r>
          </w:p>
        </w:tc>
        <w:tc>
          <w:tcPr>
            <w:tcW w:w="3260" w:type="dxa"/>
            <w:vAlign w:val="center"/>
          </w:tcPr>
          <w:p w14:paraId="17FD80B4" w14:textId="33F0CB59" w:rsidR="00C2365D" w:rsidRPr="0059218B" w:rsidRDefault="00C2365D" w:rsidP="004A432F">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218B">
              <w:rPr>
                <w:rFonts w:cs="Arial"/>
                <w:color w:val="000000"/>
                <w:szCs w:val="24"/>
              </w:rPr>
              <w:t>2.1</w:t>
            </w:r>
          </w:p>
        </w:tc>
      </w:tr>
      <w:bookmarkEnd w:id="18"/>
    </w:tbl>
    <w:p w14:paraId="414C3476" w14:textId="77777777" w:rsidR="00360DB4" w:rsidRPr="0059218B" w:rsidRDefault="00360DB4">
      <w:pPr>
        <w:rPr>
          <w:szCs w:val="24"/>
        </w:rPr>
      </w:pPr>
      <w:r w:rsidRPr="0059218B">
        <w:rPr>
          <w:szCs w:val="24"/>
        </w:rPr>
        <w:br w:type="page"/>
      </w:r>
    </w:p>
    <w:p w14:paraId="78572D9B" w14:textId="76C0571B" w:rsidR="00383536" w:rsidRPr="0059218B" w:rsidRDefault="00360DB4" w:rsidP="00EA26AA">
      <w:pPr>
        <w:pStyle w:val="Heading2"/>
      </w:pPr>
      <w:bookmarkStart w:id="19" w:name="_Toc193468427"/>
      <w:r w:rsidRPr="0059218B">
        <w:t xml:space="preserve">Appendix </w:t>
      </w:r>
      <w:r w:rsidR="00134E79" w:rsidRPr="0059218B">
        <w:t xml:space="preserve">C: </w:t>
      </w:r>
      <w:r w:rsidRPr="0059218B">
        <w:t xml:space="preserve">Glossary of </w:t>
      </w:r>
      <w:r w:rsidR="00F73C3A">
        <w:t>t</w:t>
      </w:r>
      <w:r w:rsidRPr="0059218B">
        <w:t>erms</w:t>
      </w:r>
      <w:bookmarkEnd w:id="19"/>
      <w:r w:rsidRPr="0059218B">
        <w:t xml:space="preserve"> </w:t>
      </w:r>
    </w:p>
    <w:p w14:paraId="16237816" w14:textId="7270E356" w:rsidR="00B9721F" w:rsidRPr="0059218B" w:rsidRDefault="150B919F" w:rsidP="41ED6CC6">
      <w:pPr>
        <w:pStyle w:val="Researchtext"/>
        <w:spacing w:before="240" w:after="240"/>
        <w:rPr>
          <w:rFonts w:asciiTheme="minorHAnsi" w:hAnsiTheme="minorHAnsi"/>
          <w:sz w:val="24"/>
          <w:szCs w:val="24"/>
        </w:rPr>
      </w:pPr>
      <w:r w:rsidRPr="41ED6CC6">
        <w:rPr>
          <w:rFonts w:asciiTheme="minorHAnsi" w:hAnsiTheme="minorHAnsi"/>
          <w:b/>
          <w:bCs/>
          <w:sz w:val="24"/>
          <w:szCs w:val="24"/>
        </w:rPr>
        <w:t xml:space="preserve">Aggregated / disaggregated. </w:t>
      </w:r>
      <w:r w:rsidRPr="41ED6CC6">
        <w:rPr>
          <w:rFonts w:asciiTheme="minorHAnsi" w:hAnsiTheme="minorHAnsi"/>
          <w:sz w:val="24"/>
          <w:szCs w:val="24"/>
        </w:rPr>
        <w:t xml:space="preserve">Aggregated data refers to the total dataset (e.g. all employee responses). Disaggregated data refers to data that has been broken down into detailed sub-categories – such as by gender (e.g. responses from men versus responses from women and non-binary people) or age (e.g. people under 30 versus people 55 and over). This makes it possible to compare inclusion experiences by diversity and to identify patterns or disparities that may be hidden in larger datasets. </w:t>
      </w:r>
    </w:p>
    <w:p w14:paraId="6E2CD75F" w14:textId="0A0D186E" w:rsidR="001933C5" w:rsidRPr="0059218B" w:rsidRDefault="150B919F" w:rsidP="41ED6CC6">
      <w:pPr>
        <w:pStyle w:val="Researchtext"/>
        <w:spacing w:before="240" w:after="240"/>
        <w:rPr>
          <w:rFonts w:asciiTheme="minorHAnsi" w:hAnsiTheme="minorHAnsi"/>
          <w:b/>
          <w:bCs/>
          <w:sz w:val="24"/>
          <w:szCs w:val="24"/>
        </w:rPr>
      </w:pPr>
      <w:r w:rsidRPr="41ED6CC6">
        <w:rPr>
          <w:rFonts w:asciiTheme="minorHAnsi" w:hAnsiTheme="minorHAnsi"/>
          <w:b/>
          <w:bCs/>
          <w:sz w:val="24"/>
          <w:szCs w:val="24"/>
        </w:rPr>
        <w:t xml:space="preserve">Aboriginal and/or Torres Strait Islander. </w:t>
      </w:r>
      <w:r w:rsidRPr="41ED6CC6">
        <w:rPr>
          <w:rFonts w:asciiTheme="minorHAnsi" w:hAnsiTheme="minorHAnsi"/>
          <w:sz w:val="24"/>
          <w:szCs w:val="24"/>
        </w:rPr>
        <w:t xml:space="preserve">This refers to those who have responded to the survey question “Do you identify as an Australian Aboriginal and/or Torres Strait Islander person?” by selecting they have an Aboriginal background, Torres Strait Islander background, or both. </w:t>
      </w:r>
      <w:r w:rsidRPr="41ED6CC6">
        <w:rPr>
          <w:rFonts w:asciiTheme="minorHAnsi" w:eastAsia="TheSans-B3Light" w:hAnsiTheme="minorHAnsi"/>
          <w:b/>
          <w:bCs/>
          <w:sz w:val="24"/>
          <w:szCs w:val="24"/>
        </w:rPr>
        <w:t xml:space="preserve"> </w:t>
      </w:r>
    </w:p>
    <w:p w14:paraId="0E89A0BE" w14:textId="77777777" w:rsidR="00AC609F" w:rsidRPr="00674A2C" w:rsidRDefault="00AC609F" w:rsidP="00AC609F">
      <w:pPr>
        <w:pStyle w:val="ResearchReport"/>
        <w:rPr>
          <w:rFonts w:asciiTheme="minorHAnsi" w:hAnsiTheme="minorHAnsi"/>
          <w:b/>
          <w:bCs/>
          <w:lang w:val="en-AU"/>
        </w:rPr>
      </w:pPr>
      <w:r w:rsidRPr="00674A2C">
        <w:rPr>
          <w:rFonts w:asciiTheme="minorHAnsi" w:hAnsiTheme="minorHAnsi"/>
          <w:b/>
          <w:bCs/>
          <w:lang w:val="en-AU"/>
        </w:rPr>
        <w:t xml:space="preserve">Bias. </w:t>
      </w:r>
      <w:r w:rsidRPr="00674A2C">
        <w:rPr>
          <w:rFonts w:asciiTheme="minorHAnsi" w:hAnsiTheme="minorHAnsi"/>
          <w:lang w:val="en-AU"/>
        </w:rPr>
        <w:t>Bias is a preference for or against someone based on stereotypes about their age, gender, race, ethnicity, nationality, religion, social class, sexual orientation or disability status, rather than actual knowledge of the person and their circumstances.</w:t>
      </w:r>
    </w:p>
    <w:p w14:paraId="5149E693" w14:textId="77777777" w:rsidR="00AC609F" w:rsidRPr="00674A2C" w:rsidRDefault="00AC609F" w:rsidP="00AC609F">
      <w:pPr>
        <w:pStyle w:val="Researchtext"/>
        <w:spacing w:before="240" w:after="240"/>
        <w:rPr>
          <w:rFonts w:asciiTheme="minorHAnsi" w:eastAsia="TheSans-B3Light" w:hAnsiTheme="minorHAnsi"/>
          <w:bCs/>
          <w:sz w:val="24"/>
          <w:szCs w:val="24"/>
        </w:rPr>
      </w:pPr>
      <w:r w:rsidRPr="00674A2C">
        <w:rPr>
          <w:rFonts w:asciiTheme="minorHAnsi" w:eastAsia="TheSans-B3Light" w:hAnsiTheme="minorHAnsi"/>
          <w:b/>
          <w:sz w:val="24"/>
          <w:szCs w:val="24"/>
        </w:rPr>
        <w:t>Caring responsibilities.</w:t>
      </w:r>
      <w:r w:rsidRPr="00674A2C">
        <w:rPr>
          <w:rFonts w:asciiTheme="minorHAnsi" w:eastAsia="TheSans-B3Light" w:hAnsiTheme="minorHAnsi"/>
          <w:bCs/>
          <w:sz w:val="24"/>
          <w:szCs w:val="24"/>
        </w:rPr>
        <w:t xml:space="preserve"> This refers to those who have responded to the survey question, “In the last two weeks, did you spend time providing unpaid care, help or assistance for family members or others?” by reporting they cared for a child or children and/or an adult or adults.</w:t>
      </w:r>
    </w:p>
    <w:p w14:paraId="50E85E1B" w14:textId="77777777" w:rsidR="00AC609F" w:rsidRPr="00674A2C" w:rsidRDefault="00AC609F" w:rsidP="00AC609F">
      <w:pPr>
        <w:pStyle w:val="ResearchReport"/>
        <w:rPr>
          <w:rFonts w:asciiTheme="minorHAnsi" w:hAnsiTheme="minorHAnsi"/>
          <w:lang w:val="en-AU"/>
        </w:rPr>
      </w:pPr>
      <w:r w:rsidRPr="00674A2C">
        <w:rPr>
          <w:rFonts w:asciiTheme="minorHAnsi" w:hAnsiTheme="minorHAnsi"/>
          <w:b/>
          <w:bCs/>
          <w:lang w:val="en-AU"/>
        </w:rPr>
        <w:t xml:space="preserve">Culturally and racially marginalised (CARM). </w:t>
      </w:r>
      <w:r w:rsidRPr="00674A2C">
        <w:rPr>
          <w:rFonts w:asciiTheme="minorHAnsi" w:hAnsiTheme="minorHAnsi"/>
          <w:lang w:val="en-AU"/>
        </w:rPr>
        <w:t>We use the term culturally and racially marginalised (CARM) to refer to people who are not white. Research indicates that it is this group who experiences racial marginalisation. This group includes people who are Black, Brown, Asian or any other non-white group who face marginalisation due to their race.</w:t>
      </w:r>
      <w:r w:rsidRPr="00674A2C">
        <w:rPr>
          <w:rStyle w:val="EndnoteReference"/>
          <w:rFonts w:asciiTheme="minorHAnsi" w:hAnsiTheme="minorHAnsi"/>
          <w:lang w:val="en-AU"/>
        </w:rPr>
        <w:endnoteReference w:id="13"/>
      </w:r>
    </w:p>
    <w:p w14:paraId="7D6F1DC7" w14:textId="50EF644C" w:rsidR="00AC609F" w:rsidRPr="0059218B" w:rsidRDefault="00AC609F" w:rsidP="00AC609F">
      <w:pPr>
        <w:pStyle w:val="ResearchReport"/>
        <w:rPr>
          <w:rFonts w:asciiTheme="minorHAnsi" w:hAnsiTheme="minorHAnsi"/>
          <w:lang w:val="en-AU"/>
        </w:rPr>
      </w:pPr>
      <w:r w:rsidRPr="00674A2C">
        <w:rPr>
          <w:rFonts w:asciiTheme="minorHAnsi" w:hAnsiTheme="minorHAnsi"/>
          <w:b/>
          <w:bCs/>
          <w:lang w:val="en-AU"/>
        </w:rPr>
        <w:t>Centring voice / lived experience</w:t>
      </w:r>
      <w:r w:rsidRPr="00674A2C">
        <w:rPr>
          <w:rFonts w:asciiTheme="minorHAnsi" w:hAnsiTheme="minorHAnsi"/>
          <w:lang w:val="en-AU"/>
        </w:rPr>
        <w:t xml:space="preserve">. Centring voice or lived experience means we listen to and prioritise what people from marginalised backgrounds are telling us about the systemic barriers they face. </w:t>
      </w:r>
      <w:r w:rsidR="006203CB">
        <w:rPr>
          <w:rFonts w:asciiTheme="minorHAnsi" w:hAnsiTheme="minorHAnsi"/>
          <w:lang w:val="en-AU"/>
        </w:rPr>
        <w:t xml:space="preserve">These </w:t>
      </w:r>
      <w:r w:rsidRPr="00674A2C">
        <w:rPr>
          <w:rFonts w:asciiTheme="minorHAnsi" w:hAnsiTheme="minorHAnsi"/>
          <w:lang w:val="en-AU"/>
        </w:rPr>
        <w:t xml:space="preserve">perspectives are the foundation </w:t>
      </w:r>
      <w:r w:rsidR="006203CB">
        <w:rPr>
          <w:rFonts w:asciiTheme="minorHAnsi" w:hAnsiTheme="minorHAnsi"/>
          <w:lang w:val="en-AU"/>
        </w:rPr>
        <w:t xml:space="preserve">for </w:t>
      </w:r>
      <w:r w:rsidRPr="00674A2C">
        <w:rPr>
          <w:rFonts w:asciiTheme="minorHAnsi" w:hAnsiTheme="minorHAnsi"/>
          <w:lang w:val="en-AU"/>
        </w:rPr>
        <w:t>D&amp;I initiatives that are focused on them.</w:t>
      </w:r>
      <w:r w:rsidRPr="00674A2C">
        <w:rPr>
          <w:rStyle w:val="EndnoteReference"/>
          <w:rFonts w:asciiTheme="minorHAnsi" w:hAnsiTheme="minorHAnsi"/>
          <w:lang w:val="en-AU"/>
        </w:rPr>
        <w:endnoteReference w:id="14"/>
      </w:r>
    </w:p>
    <w:p w14:paraId="4B25CBD6" w14:textId="09D178F9" w:rsidR="00DC4921" w:rsidRPr="0059218B" w:rsidRDefault="150B919F" w:rsidP="41ED6CC6">
      <w:pPr>
        <w:pStyle w:val="Researchtext"/>
        <w:spacing w:before="240" w:after="240"/>
        <w:rPr>
          <w:rFonts w:asciiTheme="minorHAnsi" w:eastAsiaTheme="majorEastAsia" w:hAnsiTheme="minorHAnsi"/>
          <w:sz w:val="24"/>
          <w:szCs w:val="24"/>
        </w:rPr>
      </w:pPr>
      <w:r w:rsidRPr="41ED6CC6">
        <w:rPr>
          <w:rFonts w:asciiTheme="minorHAnsi" w:eastAsiaTheme="minorEastAsia" w:hAnsiTheme="minorHAnsi"/>
          <w:b/>
          <w:bCs/>
          <w:sz w:val="24"/>
          <w:szCs w:val="24"/>
        </w:rPr>
        <w:t>Disability.</w:t>
      </w:r>
      <w:r w:rsidRPr="41ED6CC6">
        <w:rPr>
          <w:rFonts w:asciiTheme="minorHAnsi" w:eastAsiaTheme="minorEastAsia" w:hAnsiTheme="minorHAnsi"/>
          <w:sz w:val="24"/>
          <w:szCs w:val="24"/>
        </w:rPr>
        <w:t xml:space="preserve"> DCA follows the </w:t>
      </w:r>
      <w:r w:rsidRPr="41ED6CC6">
        <w:rPr>
          <w:rFonts w:asciiTheme="minorHAnsi" w:hAnsiTheme="minorHAnsi"/>
          <w:sz w:val="24"/>
          <w:szCs w:val="24"/>
        </w:rPr>
        <w:t xml:space="preserve">United Nations Convention on the Rights of Persons with Disabilities, to which Australia is a signatory. According to the convention, </w:t>
      </w:r>
      <w:r w:rsidRPr="41ED6CC6">
        <w:rPr>
          <w:rFonts w:asciiTheme="minorHAnsi" w:eastAsiaTheme="majorEastAsia" w:hAnsiTheme="minorHAnsi"/>
          <w:sz w:val="24"/>
          <w:szCs w:val="24"/>
        </w:rPr>
        <w:t>“persons with disabilities include those who have long-term physical, mental, intellectual or sensory impairments which in interaction with various barriers may hinder their full and effective participation in society on an equal basis with others”.</w:t>
      </w:r>
    </w:p>
    <w:p w14:paraId="30ED80B9" w14:textId="7888167F" w:rsidR="001933C5" w:rsidRPr="0059218B" w:rsidRDefault="150B919F" w:rsidP="41ED6CC6">
      <w:pPr>
        <w:rPr>
          <w:lang w:eastAsia="en-AU"/>
        </w:rPr>
      </w:pPr>
      <w:r w:rsidRPr="41ED6CC6">
        <w:rPr>
          <w:b/>
          <w:bCs/>
          <w:lang w:eastAsia="en-AU"/>
        </w:rPr>
        <w:t>LGBTIQ+.</w:t>
      </w:r>
      <w:r w:rsidRPr="41ED6CC6">
        <w:rPr>
          <w:lang w:eastAsia="en-AU"/>
        </w:rPr>
        <w:t xml:space="preserve"> We are intentional with our use of language and use the acronym LGBTIQ+ where it applies to people who are lesbian, gay, bisexual, trans/gender diverse, intersex variation, and queer. The “+” recognises that LGBTIQ doesn’t describe a range of other terms that people identify with. We have used the term LGBTIQ+ in this document as it is widely used by organisations and in policy, but we recognise that this is not always the terminology preferred by individual communities. In particular, we recognise that many intersex people do not see themselves represented within the acronym, which refers mainly to sexuality and gender identity. Where possible, we now aim to collect data using the ABS</w:t>
      </w:r>
      <w:r w:rsidRPr="41ED6CC6">
        <w:t xml:space="preserve"> </w:t>
      </w:r>
      <w:hyperlink r:id="rId33">
        <w:r w:rsidRPr="41ED6CC6">
          <w:rPr>
            <w:rStyle w:val="Hyperlink"/>
            <w:i/>
            <w:iCs/>
          </w:rPr>
          <w:t>Standard for sex, gender, variations of sex characteristics and sexual orientation variables</w:t>
        </w:r>
      </w:hyperlink>
      <w:r w:rsidRPr="41ED6CC6">
        <w:t>, which presents these variables as separate.</w:t>
      </w:r>
    </w:p>
    <w:p w14:paraId="4DE77872" w14:textId="7299B34F" w:rsidR="00690355" w:rsidRPr="0059218B" w:rsidRDefault="150B919F" w:rsidP="00D86CB3">
      <w:pPr>
        <w:pStyle w:val="ResearchReport"/>
      </w:pPr>
      <w:r w:rsidRPr="150B919F">
        <w:rPr>
          <w:rFonts w:asciiTheme="minorHAnsi" w:hAnsiTheme="minorHAnsi"/>
          <w:b/>
          <w:bCs/>
        </w:rPr>
        <w:t>Main English-speaking background</w:t>
      </w:r>
      <w:r w:rsidRPr="150B919F">
        <w:rPr>
          <w:rFonts w:asciiTheme="minorHAnsi" w:hAnsiTheme="minorHAnsi"/>
        </w:rPr>
        <w:t xml:space="preserve">. DCA uses the demographic category MESB, which is derived from the ABS’s “Main English-speaking country of birth” category. The category includes the United Kingdom (England, Scotland, Wales, Northern Ireland), Republic of Ireland, </w:t>
      </w:r>
      <w:r w:rsidR="00DD7DB0">
        <w:rPr>
          <w:rFonts w:asciiTheme="minorHAnsi" w:hAnsiTheme="minorHAnsi"/>
        </w:rPr>
        <w:t xml:space="preserve">Aotearoa </w:t>
      </w:r>
      <w:r w:rsidRPr="150B919F">
        <w:rPr>
          <w:rFonts w:asciiTheme="minorHAnsi" w:hAnsiTheme="minorHAnsi"/>
        </w:rPr>
        <w:t>New Zealand, Canada, United States of America and South Africa. This list is not an attempt to classify countries based on whether or not English is the predominant or official language. It is a list of the main countries from which Australia receives, or has received, significant numbers of overseas settlers who are likely to speak English.</w:t>
      </w:r>
      <w:r w:rsidR="00690355" w:rsidRPr="00D86CB3">
        <w:rPr>
          <w:rFonts w:asciiTheme="minorHAnsi" w:hAnsiTheme="minorHAnsi"/>
          <w:b/>
          <w:lang w:val="en-AU"/>
        </w:rPr>
        <w:t>Marginalisation / marginalised</w:t>
      </w:r>
      <w:r w:rsidR="00690355" w:rsidRPr="00D86CB3">
        <w:rPr>
          <w:rFonts w:asciiTheme="minorHAnsi" w:hAnsiTheme="minorHAnsi"/>
          <w:lang w:val="en-AU"/>
        </w:rPr>
        <w:t xml:space="preserve">. </w:t>
      </w:r>
      <w:r w:rsidR="00690355" w:rsidRPr="00D86CB3">
        <w:rPr>
          <w:rFonts w:asciiTheme="minorHAnsi" w:hAnsiTheme="minorHAnsi"/>
        </w:rPr>
        <w:t xml:space="preserve">We use this word when a group of people are systemically excluded from opportunities, resources, leadership and decision-making (i.e. they have less power). When people are excluded like this, it means they can’t have a say in or influence important matters that affect them – matters like employment, education, health, laws and government. </w:t>
      </w:r>
      <w:r w:rsidR="00690355" w:rsidRPr="00D86CB3">
        <w:rPr>
          <w:rFonts w:asciiTheme="minorHAnsi" w:hAnsiTheme="minorHAnsi"/>
          <w:lang w:val="en-AU"/>
        </w:rPr>
        <w:t>People from marginalised backgrounds experience disadvantage that others do not. Being marginalised is not due to anything they have done (or not done) and is simply because of who they happen to be. It can play out at the interpersonal level (between people) and at the systemic level (in organisational policies, practices and structures).</w:t>
      </w:r>
      <w:r w:rsidR="00690355" w:rsidRPr="00D86CB3">
        <w:rPr>
          <w:rStyle w:val="EndnoteReference"/>
          <w:rFonts w:asciiTheme="minorHAnsi" w:hAnsiTheme="minorHAnsi"/>
          <w:lang w:val="en-AU"/>
        </w:rPr>
        <w:endnoteReference w:id="15"/>
      </w:r>
      <w:r w:rsidR="00690355" w:rsidRPr="00D86CB3">
        <w:rPr>
          <w:rFonts w:asciiTheme="minorHAnsi" w:hAnsiTheme="minorHAnsi"/>
          <w:lang w:val="en-AU"/>
        </w:rPr>
        <w:t xml:space="preserve"> People can be both marginalised and privileged for many reasons – for example, men may experience privilege because of their gender but they may be marginalised if they have a disability.  </w:t>
      </w:r>
    </w:p>
    <w:p w14:paraId="3FDF98CF" w14:textId="0B8F6572" w:rsidR="001933C5" w:rsidRPr="0059218B" w:rsidRDefault="001933C5" w:rsidP="001933C5">
      <w:pPr>
        <w:pStyle w:val="Researchtext"/>
        <w:shd w:val="clear" w:color="auto" w:fill="FFFFFF" w:themeFill="background1"/>
        <w:rPr>
          <w:rFonts w:asciiTheme="minorHAnsi" w:hAnsiTheme="minorHAnsi"/>
          <w:sz w:val="24"/>
          <w:szCs w:val="24"/>
          <w:lang w:eastAsia="en-AU"/>
        </w:rPr>
      </w:pPr>
      <w:r w:rsidRPr="0059218B">
        <w:rPr>
          <w:rFonts w:asciiTheme="minorHAnsi" w:hAnsiTheme="minorHAnsi"/>
          <w:b/>
          <w:bCs/>
          <w:sz w:val="24"/>
          <w:szCs w:val="24"/>
          <w:lang w:eastAsia="en-AU"/>
        </w:rPr>
        <w:t>Multilingual.</w:t>
      </w:r>
      <w:r w:rsidRPr="0059218B">
        <w:rPr>
          <w:rFonts w:asciiTheme="minorHAnsi" w:hAnsiTheme="minorHAnsi"/>
          <w:sz w:val="24"/>
          <w:szCs w:val="24"/>
          <w:lang w:eastAsia="en-AU"/>
        </w:rPr>
        <w:t xml:space="preserve"> </w:t>
      </w:r>
      <w:r w:rsidR="00EC4D18">
        <w:rPr>
          <w:rFonts w:asciiTheme="minorHAnsi" w:hAnsiTheme="minorHAnsi"/>
          <w:sz w:val="24"/>
          <w:szCs w:val="24"/>
          <w:lang w:eastAsia="en-AU"/>
        </w:rPr>
        <w:t>This word r</w:t>
      </w:r>
      <w:r w:rsidRPr="0059218B">
        <w:rPr>
          <w:rFonts w:asciiTheme="minorHAnsi" w:hAnsiTheme="minorHAnsi"/>
          <w:sz w:val="24"/>
          <w:szCs w:val="24"/>
          <w:lang w:eastAsia="en-AU"/>
        </w:rPr>
        <w:t xml:space="preserve">efers to those who reported being able to have a conversation about a lot of everyday things in one or more languages other than English. </w:t>
      </w:r>
    </w:p>
    <w:p w14:paraId="7FF62070" w14:textId="49D88200" w:rsidR="001933C5" w:rsidRPr="0059218B" w:rsidRDefault="001933C5" w:rsidP="001933C5">
      <w:pPr>
        <w:pStyle w:val="Researchtext"/>
        <w:shd w:val="clear" w:color="auto" w:fill="FFFFFF" w:themeFill="background1"/>
        <w:rPr>
          <w:rFonts w:asciiTheme="minorHAnsi" w:hAnsiTheme="minorHAnsi"/>
          <w:sz w:val="24"/>
          <w:szCs w:val="24"/>
          <w:lang w:eastAsia="en-AU"/>
        </w:rPr>
      </w:pPr>
      <w:r w:rsidRPr="0059218B">
        <w:rPr>
          <w:rFonts w:asciiTheme="minorHAnsi" w:hAnsiTheme="minorHAnsi"/>
          <w:b/>
          <w:bCs/>
          <w:sz w:val="24"/>
          <w:szCs w:val="24"/>
          <w:lang w:eastAsia="en-AU"/>
        </w:rPr>
        <w:t xml:space="preserve">Non-Christian </w:t>
      </w:r>
      <w:r w:rsidR="00296509" w:rsidRPr="0059218B">
        <w:rPr>
          <w:rFonts w:asciiTheme="minorHAnsi" w:hAnsiTheme="minorHAnsi"/>
          <w:b/>
          <w:bCs/>
          <w:sz w:val="24"/>
          <w:szCs w:val="24"/>
          <w:lang w:eastAsia="en-AU"/>
        </w:rPr>
        <w:t>r</w:t>
      </w:r>
      <w:r w:rsidRPr="0059218B">
        <w:rPr>
          <w:rFonts w:asciiTheme="minorHAnsi" w:hAnsiTheme="minorHAnsi"/>
          <w:b/>
          <w:bCs/>
          <w:sz w:val="24"/>
          <w:szCs w:val="24"/>
          <w:lang w:eastAsia="en-AU"/>
        </w:rPr>
        <w:t xml:space="preserve">eligious </w:t>
      </w:r>
      <w:r w:rsidR="00296509" w:rsidRPr="0059218B">
        <w:rPr>
          <w:rFonts w:asciiTheme="minorHAnsi" w:hAnsiTheme="minorHAnsi"/>
          <w:b/>
          <w:bCs/>
          <w:sz w:val="24"/>
          <w:szCs w:val="24"/>
          <w:lang w:eastAsia="en-AU"/>
        </w:rPr>
        <w:t>b</w:t>
      </w:r>
      <w:r w:rsidRPr="0059218B">
        <w:rPr>
          <w:rFonts w:asciiTheme="minorHAnsi" w:hAnsiTheme="minorHAnsi"/>
          <w:b/>
          <w:bCs/>
          <w:sz w:val="24"/>
          <w:szCs w:val="24"/>
          <w:lang w:eastAsia="en-AU"/>
        </w:rPr>
        <w:t>ackground.</w:t>
      </w:r>
      <w:r w:rsidRPr="0059218B">
        <w:rPr>
          <w:rFonts w:asciiTheme="minorHAnsi" w:hAnsiTheme="minorHAnsi"/>
          <w:sz w:val="24"/>
          <w:szCs w:val="24"/>
          <w:lang w:eastAsia="en-AU"/>
        </w:rPr>
        <w:t xml:space="preserve"> </w:t>
      </w:r>
      <w:r w:rsidR="00EC4D18">
        <w:rPr>
          <w:rFonts w:asciiTheme="minorHAnsi" w:hAnsiTheme="minorHAnsi"/>
          <w:sz w:val="24"/>
          <w:szCs w:val="24"/>
          <w:lang w:eastAsia="en-AU"/>
        </w:rPr>
        <w:t>This term r</w:t>
      </w:r>
      <w:r w:rsidRPr="0059218B">
        <w:rPr>
          <w:rFonts w:asciiTheme="minorHAnsi" w:hAnsiTheme="minorHAnsi"/>
          <w:sz w:val="24"/>
          <w:szCs w:val="24"/>
          <w:lang w:eastAsia="en-AU"/>
        </w:rPr>
        <w:t>efers to those who identified as having a religious affiliation that was not a Christian denomination (e.g. Buddhism, Hinduism, Islam, Judaism</w:t>
      </w:r>
      <w:r w:rsidR="00EC4D18">
        <w:rPr>
          <w:rFonts w:asciiTheme="minorHAnsi" w:hAnsiTheme="minorHAnsi"/>
          <w:sz w:val="24"/>
          <w:szCs w:val="24"/>
          <w:lang w:eastAsia="en-AU"/>
        </w:rPr>
        <w:t xml:space="preserve"> or</w:t>
      </w:r>
      <w:r w:rsidRPr="0059218B">
        <w:rPr>
          <w:rFonts w:asciiTheme="minorHAnsi" w:hAnsiTheme="minorHAnsi"/>
          <w:sz w:val="24"/>
          <w:szCs w:val="24"/>
          <w:lang w:eastAsia="en-AU"/>
        </w:rPr>
        <w:t xml:space="preserve"> Sikhism). </w:t>
      </w:r>
      <w:r w:rsidR="002B0F16">
        <w:rPr>
          <w:rFonts w:asciiTheme="minorHAnsi" w:hAnsiTheme="minorHAnsi"/>
          <w:sz w:val="24"/>
          <w:szCs w:val="24"/>
          <w:lang w:eastAsia="en-AU"/>
        </w:rPr>
        <w:t>The term</w:t>
      </w:r>
      <w:r w:rsidRPr="0059218B">
        <w:rPr>
          <w:rFonts w:asciiTheme="minorHAnsi" w:hAnsiTheme="minorHAnsi"/>
          <w:sz w:val="24"/>
          <w:szCs w:val="24"/>
          <w:lang w:eastAsia="en-AU"/>
        </w:rPr>
        <w:t xml:space="preserve"> does not include those who have no religious affiliation.</w:t>
      </w:r>
    </w:p>
    <w:p w14:paraId="1705236C" w14:textId="66A3C183" w:rsidR="003C17B6" w:rsidRDefault="003C17B6" w:rsidP="001933C5">
      <w:pPr>
        <w:rPr>
          <w:szCs w:val="24"/>
        </w:rPr>
      </w:pPr>
      <w:r w:rsidRPr="0059218B">
        <w:rPr>
          <w:b/>
          <w:bCs/>
          <w:szCs w:val="24"/>
        </w:rPr>
        <w:t>Older employees</w:t>
      </w:r>
      <w:r w:rsidR="00EC4D18">
        <w:rPr>
          <w:b/>
          <w:bCs/>
          <w:szCs w:val="24"/>
        </w:rPr>
        <w:t>.</w:t>
      </w:r>
      <w:r w:rsidRPr="0059218B">
        <w:rPr>
          <w:b/>
          <w:bCs/>
          <w:szCs w:val="24"/>
        </w:rPr>
        <w:t xml:space="preserve"> </w:t>
      </w:r>
      <w:r w:rsidR="00EC4D18" w:rsidRPr="00FF1B99">
        <w:rPr>
          <w:szCs w:val="24"/>
        </w:rPr>
        <w:t>This term</w:t>
      </w:r>
      <w:r w:rsidR="00EC4D18">
        <w:rPr>
          <w:b/>
          <w:bCs/>
          <w:szCs w:val="24"/>
        </w:rPr>
        <w:t xml:space="preserve"> </w:t>
      </w:r>
      <w:r w:rsidRPr="0059218B">
        <w:rPr>
          <w:szCs w:val="24"/>
        </w:rPr>
        <w:t xml:space="preserve">refers to </w:t>
      </w:r>
      <w:r w:rsidR="00EC4D18">
        <w:rPr>
          <w:szCs w:val="24"/>
        </w:rPr>
        <w:t>people</w:t>
      </w:r>
      <w:r w:rsidR="00EC4D18" w:rsidRPr="0059218B">
        <w:rPr>
          <w:szCs w:val="24"/>
        </w:rPr>
        <w:t xml:space="preserve"> </w:t>
      </w:r>
      <w:r w:rsidRPr="0059218B">
        <w:rPr>
          <w:szCs w:val="24"/>
        </w:rPr>
        <w:t>aged 55+. DCA takes this approach as research by the Australian Human Rights Commission</w:t>
      </w:r>
      <w:r w:rsidRPr="0059218B">
        <w:rPr>
          <w:rStyle w:val="EndnoteReference"/>
          <w:szCs w:val="24"/>
        </w:rPr>
        <w:endnoteReference w:id="16"/>
      </w:r>
      <w:r w:rsidRPr="0059218B">
        <w:rPr>
          <w:szCs w:val="24"/>
        </w:rPr>
        <w:t xml:space="preserve"> shows that age discrimination is most prevalent in the 55</w:t>
      </w:r>
      <w:r w:rsidR="00EC4D18">
        <w:rPr>
          <w:szCs w:val="24"/>
        </w:rPr>
        <w:t>–</w:t>
      </w:r>
      <w:r w:rsidRPr="0059218B">
        <w:rPr>
          <w:szCs w:val="24"/>
        </w:rPr>
        <w:t xml:space="preserve">64 age group. </w:t>
      </w:r>
    </w:p>
    <w:p w14:paraId="2E97D4E1" w14:textId="77777777" w:rsidR="00D86CB3" w:rsidRPr="00F42064" w:rsidRDefault="00D86CB3" w:rsidP="00D86CB3">
      <w:pPr>
        <w:pStyle w:val="ResearchReport"/>
        <w:rPr>
          <w:rFonts w:asciiTheme="minorHAnsi" w:hAnsiTheme="minorHAnsi"/>
        </w:rPr>
      </w:pPr>
      <w:r w:rsidRPr="00F42064">
        <w:rPr>
          <w:rFonts w:asciiTheme="minorHAnsi" w:hAnsiTheme="minorHAnsi"/>
          <w:b/>
          <w:bCs/>
        </w:rPr>
        <w:t>Privilege</w:t>
      </w:r>
      <w:r w:rsidRPr="00F42064">
        <w:rPr>
          <w:rFonts w:asciiTheme="minorHAnsi" w:hAnsiTheme="minorHAnsi"/>
        </w:rPr>
        <w:t>. People who have privilege experience advantages that others do not. People who are privileged did not earn their privilege; it is simply because of who they happen to be. Privilege can play out at the interpersonal level (between people) and at the systemic level (in organisational policies, practices and structures).</w:t>
      </w:r>
      <w:r w:rsidRPr="00F42064">
        <w:rPr>
          <w:rStyle w:val="EndnoteReference"/>
          <w:rFonts w:asciiTheme="minorHAnsi" w:hAnsiTheme="minorHAnsi"/>
        </w:rPr>
        <w:endnoteReference w:id="17"/>
      </w:r>
      <w:r w:rsidRPr="00F42064">
        <w:rPr>
          <w:rFonts w:asciiTheme="minorHAnsi" w:hAnsiTheme="minorHAnsi"/>
        </w:rPr>
        <w:t xml:space="preserve"> People can be both privileged and marginalised for many reasons – for example, white people experience privilege because of their race but they may be marginalised because of their gender.  </w:t>
      </w:r>
    </w:p>
    <w:p w14:paraId="59F4A2DE" w14:textId="009B02B0" w:rsidR="00D86CB3" w:rsidRPr="0059218B" w:rsidRDefault="00D86CB3" w:rsidP="001933C5">
      <w:r w:rsidRPr="41ED6CC6">
        <w:rPr>
          <w:b/>
          <w:bCs/>
        </w:rPr>
        <w:t xml:space="preserve">Systemic barriers. </w:t>
      </w:r>
      <w:r w:rsidRPr="41ED6CC6">
        <w:t>Systemic barriers are the unfair organisational policies, procedures and practices that discriminate, exclude or disadvantage marginalised people, hindering their development, progression and retention in an organisation. They can be subtle because they are built into organisations in ways we often take for granted.</w:t>
      </w:r>
    </w:p>
    <w:p w14:paraId="47509E2D" w14:textId="6D047D2A" w:rsidR="00D32BE3" w:rsidRDefault="001933C5">
      <w:pPr>
        <w:rPr>
          <w:szCs w:val="24"/>
        </w:rPr>
      </w:pPr>
      <w:r w:rsidRPr="0059218B">
        <w:rPr>
          <w:b/>
          <w:bCs/>
          <w:szCs w:val="24"/>
        </w:rPr>
        <w:t>Younger employees</w:t>
      </w:r>
      <w:r w:rsidR="00EC4D18">
        <w:rPr>
          <w:b/>
          <w:bCs/>
          <w:szCs w:val="24"/>
        </w:rPr>
        <w:t>.</w:t>
      </w:r>
      <w:r w:rsidRPr="0059218B">
        <w:rPr>
          <w:b/>
          <w:bCs/>
          <w:szCs w:val="24"/>
        </w:rPr>
        <w:t xml:space="preserve"> </w:t>
      </w:r>
      <w:r w:rsidR="00EC4D18" w:rsidRPr="00FF1B99">
        <w:rPr>
          <w:szCs w:val="24"/>
        </w:rPr>
        <w:t xml:space="preserve">This term </w:t>
      </w:r>
      <w:r w:rsidRPr="0059218B">
        <w:rPr>
          <w:szCs w:val="24"/>
        </w:rPr>
        <w:t xml:space="preserve">refers to </w:t>
      </w:r>
      <w:r w:rsidR="00EC4D18">
        <w:rPr>
          <w:szCs w:val="24"/>
        </w:rPr>
        <w:t>people</w:t>
      </w:r>
      <w:r w:rsidR="00EC4D18" w:rsidRPr="0059218B">
        <w:rPr>
          <w:szCs w:val="24"/>
        </w:rPr>
        <w:t xml:space="preserve"> </w:t>
      </w:r>
      <w:r w:rsidRPr="0059218B">
        <w:rPr>
          <w:szCs w:val="24"/>
        </w:rPr>
        <w:t xml:space="preserve">aged under 30. </w:t>
      </w:r>
      <w:r w:rsidR="00EC4D18">
        <w:rPr>
          <w:szCs w:val="24"/>
        </w:rPr>
        <w:t>Our</w:t>
      </w:r>
      <w:r w:rsidR="00EC4D18" w:rsidRPr="0059218B">
        <w:rPr>
          <w:szCs w:val="24"/>
        </w:rPr>
        <w:t xml:space="preserve"> </w:t>
      </w:r>
      <w:r w:rsidRPr="0059218B">
        <w:rPr>
          <w:szCs w:val="24"/>
        </w:rPr>
        <w:t xml:space="preserve">definition aligns with the approach taken by the International Labour Organization, who describe young employees as those aged 15 to 29. </w:t>
      </w:r>
    </w:p>
    <w:sectPr w:rsidR="00D32BE3">
      <w:footnotePr>
        <w:numFmt w:val="lowerRoman"/>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4961E" w14:textId="77777777" w:rsidR="00651A41" w:rsidRDefault="00651A41" w:rsidP="00D00512">
      <w:pPr>
        <w:spacing w:after="0" w:line="240" w:lineRule="auto"/>
      </w:pPr>
    </w:p>
  </w:endnote>
  <w:endnote w:type="continuationSeparator" w:id="0">
    <w:p w14:paraId="21200FEA" w14:textId="77777777" w:rsidR="00651A41" w:rsidRDefault="00651A41" w:rsidP="00D00512">
      <w:pPr>
        <w:spacing w:after="0" w:line="240" w:lineRule="auto"/>
      </w:pPr>
    </w:p>
  </w:endnote>
  <w:endnote w:type="continuationNotice" w:id="1">
    <w:p w14:paraId="725A3000" w14:textId="77777777" w:rsidR="00651A41" w:rsidRDefault="00651A41">
      <w:pPr>
        <w:spacing w:after="0" w:line="240" w:lineRule="auto"/>
      </w:pPr>
    </w:p>
  </w:endnote>
  <w:endnote w:id="2">
    <w:p w14:paraId="659F1957" w14:textId="4C468280" w:rsidR="00A560E0" w:rsidRPr="00E440A3" w:rsidRDefault="00D32BE3" w:rsidP="00D32BE3">
      <w:pPr>
        <w:pStyle w:val="Heading2"/>
        <w:spacing w:before="0"/>
      </w:pPr>
      <w:r>
        <w:t>R</w:t>
      </w:r>
      <w:r w:rsidR="00E440A3" w:rsidRPr="00E440A3">
        <w:t>eferences</w:t>
      </w:r>
    </w:p>
    <w:p w14:paraId="2E9EEC84" w14:textId="7F87C28A" w:rsidR="00310695" w:rsidRPr="00FF1B99" w:rsidRDefault="00310695" w:rsidP="00310695">
      <w:pPr>
        <w:pStyle w:val="EndnoteText"/>
        <w:rPr>
          <w:rFonts w:asciiTheme="minorHAnsi" w:hAnsiTheme="minorHAnsi"/>
          <w:sz w:val="24"/>
          <w:szCs w:val="24"/>
          <w:highlight w:val="yellow"/>
          <w:lang w:val="en-US"/>
        </w:rPr>
      </w:pPr>
      <w:r w:rsidRPr="00AB6705">
        <w:rPr>
          <w:rStyle w:val="EndnoteReference"/>
          <w:rFonts w:asciiTheme="minorHAnsi" w:hAnsiTheme="minorHAnsi"/>
          <w:sz w:val="24"/>
          <w:szCs w:val="24"/>
        </w:rPr>
        <w:endnoteRef/>
      </w:r>
      <w:r w:rsidRPr="00AB6705">
        <w:rPr>
          <w:rFonts w:asciiTheme="minorHAnsi" w:hAnsiTheme="minorHAnsi"/>
          <w:sz w:val="24"/>
          <w:szCs w:val="24"/>
        </w:rPr>
        <w:t xml:space="preserve"> </w:t>
      </w:r>
      <w:r w:rsidR="00E33B1D" w:rsidRPr="00AB6705">
        <w:rPr>
          <w:rFonts w:asciiTheme="minorHAnsi" w:hAnsiTheme="minorHAnsi"/>
          <w:sz w:val="24"/>
          <w:szCs w:val="24"/>
        </w:rPr>
        <w:t xml:space="preserve">Australian HR Institute (AHRI), </w:t>
      </w:r>
      <w:hyperlink r:id="rId1" w:history="1">
        <w:r w:rsidR="00E33B1D" w:rsidRPr="00AB6705">
          <w:rPr>
            <w:rStyle w:val="Hyperlink"/>
            <w:rFonts w:asciiTheme="minorHAnsi" w:hAnsiTheme="minorHAnsi"/>
            <w:i/>
            <w:iCs/>
            <w:sz w:val="24"/>
            <w:szCs w:val="24"/>
          </w:rPr>
          <w:t xml:space="preserve">The </w:t>
        </w:r>
        <w:r w:rsidR="00AB6705" w:rsidRPr="00FF1B99">
          <w:rPr>
            <w:rStyle w:val="Hyperlink"/>
            <w:rFonts w:asciiTheme="minorHAnsi" w:hAnsiTheme="minorHAnsi"/>
            <w:i/>
            <w:iCs/>
            <w:sz w:val="24"/>
            <w:szCs w:val="24"/>
          </w:rPr>
          <w:t>state of diversity, equity and in</w:t>
        </w:r>
        <w:r w:rsidR="000F1A7F" w:rsidRPr="00AB6705">
          <w:rPr>
            <w:rStyle w:val="Hyperlink"/>
            <w:rFonts w:asciiTheme="minorHAnsi" w:hAnsiTheme="minorHAnsi"/>
            <w:i/>
            <w:iCs/>
            <w:sz w:val="24"/>
            <w:szCs w:val="24"/>
          </w:rPr>
          <w:t xml:space="preserve">clusion in Australian </w:t>
        </w:r>
        <w:r w:rsidR="00AB6705" w:rsidRPr="00FF1B99">
          <w:rPr>
            <w:rStyle w:val="Hyperlink"/>
            <w:rFonts w:asciiTheme="minorHAnsi" w:hAnsiTheme="minorHAnsi"/>
            <w:i/>
            <w:iCs/>
            <w:sz w:val="24"/>
            <w:szCs w:val="24"/>
          </w:rPr>
          <w:t>w</w:t>
        </w:r>
        <w:r w:rsidR="000F1A7F" w:rsidRPr="00AB6705">
          <w:rPr>
            <w:rStyle w:val="Hyperlink"/>
            <w:rFonts w:asciiTheme="minorHAnsi" w:hAnsiTheme="minorHAnsi"/>
            <w:i/>
            <w:iCs/>
            <w:sz w:val="24"/>
            <w:szCs w:val="24"/>
          </w:rPr>
          <w:t>orkplaces</w:t>
        </w:r>
      </w:hyperlink>
      <w:r w:rsidR="000F1A7F" w:rsidRPr="00AB6705">
        <w:rPr>
          <w:rFonts w:asciiTheme="minorHAnsi" w:hAnsiTheme="minorHAnsi"/>
          <w:sz w:val="24"/>
          <w:szCs w:val="24"/>
        </w:rPr>
        <w:t xml:space="preserve">, </w:t>
      </w:r>
      <w:r w:rsidR="00AB6705" w:rsidRPr="00FF1B99">
        <w:rPr>
          <w:rFonts w:asciiTheme="minorHAnsi" w:hAnsiTheme="minorHAnsi"/>
          <w:sz w:val="24"/>
          <w:szCs w:val="24"/>
        </w:rPr>
        <w:t xml:space="preserve">AHRI, </w:t>
      </w:r>
      <w:r w:rsidR="00AB6705">
        <w:rPr>
          <w:rFonts w:asciiTheme="minorHAnsi" w:hAnsiTheme="minorHAnsi"/>
          <w:sz w:val="24"/>
          <w:szCs w:val="24"/>
        </w:rPr>
        <w:t xml:space="preserve">Melbourne, </w:t>
      </w:r>
      <w:r w:rsidR="003E2686" w:rsidRPr="00AB6705">
        <w:rPr>
          <w:rFonts w:asciiTheme="minorHAnsi" w:hAnsiTheme="minorHAnsi"/>
          <w:sz w:val="24"/>
          <w:szCs w:val="24"/>
        </w:rPr>
        <w:t>2023.</w:t>
      </w:r>
      <w:r w:rsidRPr="00AB6705">
        <w:rPr>
          <w:rFonts w:asciiTheme="minorHAnsi" w:hAnsiTheme="minorHAnsi"/>
          <w:sz w:val="24"/>
          <w:szCs w:val="24"/>
        </w:rPr>
        <w:t xml:space="preserve"> </w:t>
      </w:r>
    </w:p>
  </w:endnote>
  <w:endnote w:id="3">
    <w:p w14:paraId="40C98FC9" w14:textId="559368D4" w:rsidR="00EE1585" w:rsidRPr="00FF1B99" w:rsidRDefault="00EE1585" w:rsidP="00D32BE3">
      <w:pPr>
        <w:pStyle w:val="EndnoteText"/>
        <w:spacing w:before="240"/>
        <w:rPr>
          <w:rFonts w:asciiTheme="minorHAnsi" w:hAnsiTheme="minorHAnsi"/>
          <w:sz w:val="24"/>
          <w:szCs w:val="24"/>
          <w:highlight w:val="yellow"/>
          <w:lang w:val="en-US"/>
        </w:rPr>
      </w:pPr>
      <w:r w:rsidRPr="00AB6705">
        <w:rPr>
          <w:rStyle w:val="EndnoteReference"/>
          <w:rFonts w:asciiTheme="minorHAnsi" w:hAnsiTheme="minorHAnsi"/>
          <w:sz w:val="24"/>
          <w:szCs w:val="24"/>
        </w:rPr>
        <w:endnoteRef/>
      </w:r>
      <w:r w:rsidRPr="00AB6705">
        <w:rPr>
          <w:rFonts w:asciiTheme="minorHAnsi" w:hAnsiTheme="minorHAnsi"/>
          <w:sz w:val="24"/>
          <w:szCs w:val="24"/>
        </w:rPr>
        <w:t xml:space="preserve"> </w:t>
      </w:r>
      <w:r w:rsidR="00AB6705" w:rsidRPr="00FF1B99">
        <w:rPr>
          <w:rFonts w:asciiTheme="minorHAnsi" w:hAnsiTheme="minorHAnsi"/>
          <w:sz w:val="24"/>
          <w:szCs w:val="24"/>
        </w:rPr>
        <w:t xml:space="preserve">AHRI, </w:t>
      </w:r>
      <w:hyperlink r:id="rId2" w:history="1">
        <w:r w:rsidR="00AB6705" w:rsidRPr="00AB6705">
          <w:rPr>
            <w:rStyle w:val="Hyperlink"/>
            <w:rFonts w:asciiTheme="minorHAnsi" w:hAnsiTheme="minorHAnsi"/>
            <w:i/>
            <w:iCs/>
            <w:sz w:val="24"/>
            <w:szCs w:val="24"/>
          </w:rPr>
          <w:t>The state of diversity, equity and inclusion in Australian workplaces</w:t>
        </w:r>
      </w:hyperlink>
      <w:r w:rsidR="003E2686" w:rsidRPr="00AB6705">
        <w:rPr>
          <w:rFonts w:asciiTheme="minorHAnsi" w:hAnsiTheme="minorHAnsi"/>
          <w:sz w:val="24"/>
          <w:szCs w:val="24"/>
        </w:rPr>
        <w:t>.</w:t>
      </w:r>
    </w:p>
  </w:endnote>
  <w:endnote w:id="4">
    <w:p w14:paraId="15044D24" w14:textId="2DAE92C4" w:rsidR="00E128CC" w:rsidRPr="00FF1B99" w:rsidRDefault="00E128CC" w:rsidP="00D32BE3">
      <w:pPr>
        <w:pStyle w:val="EndnoteText"/>
        <w:spacing w:before="240"/>
        <w:rPr>
          <w:rFonts w:asciiTheme="minorHAnsi" w:hAnsiTheme="minorHAnsi"/>
          <w:sz w:val="24"/>
          <w:szCs w:val="24"/>
          <w:highlight w:val="yellow"/>
          <w:lang w:val="en-US"/>
        </w:rPr>
      </w:pPr>
      <w:r w:rsidRPr="00AB6705">
        <w:rPr>
          <w:rStyle w:val="EndnoteReference"/>
          <w:rFonts w:asciiTheme="minorHAnsi" w:hAnsiTheme="minorHAnsi"/>
          <w:sz w:val="24"/>
          <w:szCs w:val="24"/>
        </w:rPr>
        <w:endnoteRef/>
      </w:r>
      <w:r w:rsidR="0025726F" w:rsidRPr="00AB6705">
        <w:rPr>
          <w:rFonts w:asciiTheme="minorHAnsi" w:hAnsiTheme="minorHAnsi"/>
          <w:sz w:val="24"/>
          <w:szCs w:val="24"/>
        </w:rPr>
        <w:t xml:space="preserve"> JC Williams</w:t>
      </w:r>
      <w:r w:rsidR="00A73E4F" w:rsidRPr="00AB6705">
        <w:rPr>
          <w:rFonts w:asciiTheme="minorHAnsi" w:hAnsiTheme="minorHAnsi"/>
          <w:sz w:val="24"/>
          <w:szCs w:val="24"/>
        </w:rPr>
        <w:t xml:space="preserve"> and J Dolkas, “</w:t>
      </w:r>
      <w:hyperlink r:id="rId3" w:history="1">
        <w:r w:rsidR="00A73E4F" w:rsidRPr="00AB6705">
          <w:rPr>
            <w:rStyle w:val="Hyperlink"/>
            <w:rFonts w:asciiTheme="minorHAnsi" w:hAnsiTheme="minorHAnsi"/>
            <w:sz w:val="24"/>
            <w:szCs w:val="24"/>
          </w:rPr>
          <w:t>Data</w:t>
        </w:r>
        <w:r w:rsidR="00AB6705" w:rsidRPr="00FF1B99">
          <w:rPr>
            <w:rStyle w:val="Hyperlink"/>
            <w:rFonts w:asciiTheme="minorHAnsi" w:hAnsiTheme="minorHAnsi"/>
            <w:sz w:val="24"/>
            <w:szCs w:val="24"/>
          </w:rPr>
          <w:t>-driven d</w:t>
        </w:r>
        <w:r w:rsidR="00A73E4F" w:rsidRPr="00AB6705">
          <w:rPr>
            <w:rStyle w:val="Hyperlink"/>
            <w:rFonts w:asciiTheme="minorHAnsi" w:hAnsiTheme="minorHAnsi"/>
            <w:sz w:val="24"/>
            <w:szCs w:val="24"/>
          </w:rPr>
          <w:t>iversity</w:t>
        </w:r>
      </w:hyperlink>
      <w:r w:rsidR="00A73E4F" w:rsidRPr="00AB6705">
        <w:rPr>
          <w:rFonts w:asciiTheme="minorHAnsi" w:hAnsiTheme="minorHAnsi"/>
          <w:sz w:val="24"/>
          <w:szCs w:val="24"/>
        </w:rPr>
        <w:t xml:space="preserve">”, </w:t>
      </w:r>
      <w:r w:rsidR="00A73E4F" w:rsidRPr="00FF1B99">
        <w:rPr>
          <w:rFonts w:asciiTheme="minorHAnsi" w:hAnsiTheme="minorHAnsi"/>
          <w:i/>
          <w:iCs/>
          <w:sz w:val="24"/>
          <w:szCs w:val="24"/>
        </w:rPr>
        <w:t>Harvard Business Review</w:t>
      </w:r>
      <w:r w:rsidR="00A73E4F" w:rsidRPr="00AB6705">
        <w:rPr>
          <w:rFonts w:asciiTheme="minorHAnsi" w:hAnsiTheme="minorHAnsi"/>
          <w:sz w:val="24"/>
          <w:szCs w:val="24"/>
        </w:rPr>
        <w:t xml:space="preserve">, </w:t>
      </w:r>
      <w:r w:rsidR="0087504B" w:rsidRPr="00AB6705">
        <w:rPr>
          <w:rFonts w:asciiTheme="minorHAnsi" w:hAnsiTheme="minorHAnsi"/>
          <w:sz w:val="24"/>
          <w:szCs w:val="24"/>
        </w:rPr>
        <w:t>March</w:t>
      </w:r>
      <w:r w:rsidR="00AB6705" w:rsidRPr="00FF1B99">
        <w:rPr>
          <w:rFonts w:asciiTheme="minorHAnsi" w:hAnsiTheme="minorHAnsi"/>
          <w:sz w:val="24"/>
          <w:szCs w:val="24"/>
        </w:rPr>
        <w:t>–April</w:t>
      </w:r>
      <w:r w:rsidR="0087504B" w:rsidRPr="00AB6705">
        <w:rPr>
          <w:rFonts w:asciiTheme="minorHAnsi" w:hAnsiTheme="minorHAnsi"/>
          <w:sz w:val="24"/>
          <w:szCs w:val="24"/>
        </w:rPr>
        <w:t xml:space="preserve"> 2022.</w:t>
      </w:r>
      <w:r w:rsidRPr="00AB6705">
        <w:rPr>
          <w:rFonts w:asciiTheme="minorHAnsi" w:hAnsiTheme="minorHAnsi"/>
          <w:sz w:val="24"/>
          <w:szCs w:val="24"/>
        </w:rPr>
        <w:t xml:space="preserve"> </w:t>
      </w:r>
    </w:p>
  </w:endnote>
  <w:endnote w:id="5">
    <w:p w14:paraId="67DFEDAE" w14:textId="5D809EAF" w:rsidR="00923D66" w:rsidRPr="00AB6705" w:rsidRDefault="00923D66" w:rsidP="00D32BE3">
      <w:pPr>
        <w:pStyle w:val="EndnoteText"/>
        <w:spacing w:before="240"/>
        <w:rPr>
          <w:rFonts w:asciiTheme="minorHAnsi" w:hAnsiTheme="minorHAnsi"/>
          <w:sz w:val="24"/>
          <w:szCs w:val="24"/>
          <w:lang w:val="en-US"/>
        </w:rPr>
      </w:pPr>
      <w:r w:rsidRPr="00AB6705">
        <w:rPr>
          <w:rStyle w:val="EndnoteReference"/>
          <w:rFonts w:asciiTheme="minorHAnsi" w:hAnsiTheme="minorHAnsi"/>
          <w:sz w:val="24"/>
          <w:szCs w:val="24"/>
        </w:rPr>
        <w:endnoteRef/>
      </w:r>
      <w:r w:rsidRPr="00AB6705">
        <w:rPr>
          <w:rFonts w:asciiTheme="minorHAnsi" w:hAnsiTheme="minorHAnsi"/>
          <w:sz w:val="24"/>
          <w:szCs w:val="24"/>
        </w:rPr>
        <w:t xml:space="preserve"> </w:t>
      </w:r>
      <w:r w:rsidR="00AB6705" w:rsidRPr="00AB6705">
        <w:rPr>
          <w:rFonts w:asciiTheme="minorHAnsi" w:hAnsiTheme="minorHAnsi"/>
          <w:sz w:val="24"/>
          <w:szCs w:val="24"/>
        </w:rPr>
        <w:t>Williams and Dolkas, “</w:t>
      </w:r>
      <w:hyperlink r:id="rId4" w:history="1">
        <w:r w:rsidR="00AB6705" w:rsidRPr="00AB6705">
          <w:rPr>
            <w:rStyle w:val="Hyperlink"/>
            <w:rFonts w:asciiTheme="minorHAnsi" w:hAnsiTheme="minorHAnsi"/>
            <w:sz w:val="24"/>
            <w:szCs w:val="24"/>
          </w:rPr>
          <w:t>Data-driven diversity</w:t>
        </w:r>
      </w:hyperlink>
      <w:r w:rsidR="00AB6705" w:rsidRPr="00AB6705">
        <w:rPr>
          <w:rFonts w:asciiTheme="minorHAnsi" w:hAnsiTheme="minorHAnsi"/>
          <w:sz w:val="24"/>
          <w:szCs w:val="24"/>
        </w:rPr>
        <w:t xml:space="preserve">”. </w:t>
      </w:r>
    </w:p>
  </w:endnote>
  <w:endnote w:id="6">
    <w:p w14:paraId="7AABE598" w14:textId="14D08B15" w:rsidR="008C37CB" w:rsidRPr="00FF1B99" w:rsidRDefault="008C37CB" w:rsidP="00D32BE3">
      <w:pPr>
        <w:pStyle w:val="EndnoteText"/>
        <w:spacing w:before="240"/>
        <w:rPr>
          <w:rFonts w:asciiTheme="minorHAnsi" w:hAnsiTheme="minorHAnsi"/>
          <w:sz w:val="24"/>
          <w:szCs w:val="24"/>
          <w:highlight w:val="yellow"/>
          <w:lang w:val="en-US"/>
        </w:rPr>
      </w:pPr>
      <w:r w:rsidRPr="00E01E0F">
        <w:rPr>
          <w:rStyle w:val="EndnoteReference"/>
          <w:rFonts w:asciiTheme="minorHAnsi" w:hAnsiTheme="minorHAnsi"/>
          <w:sz w:val="24"/>
          <w:szCs w:val="24"/>
        </w:rPr>
        <w:endnoteRef/>
      </w:r>
      <w:r w:rsidRPr="00E01E0F">
        <w:rPr>
          <w:rFonts w:asciiTheme="minorHAnsi" w:hAnsiTheme="minorHAnsi"/>
          <w:sz w:val="24"/>
          <w:szCs w:val="24"/>
        </w:rPr>
        <w:t xml:space="preserve"> </w:t>
      </w:r>
      <w:r w:rsidR="00A800AC" w:rsidRPr="00E01E0F">
        <w:rPr>
          <w:rFonts w:asciiTheme="minorHAnsi" w:hAnsiTheme="minorHAnsi"/>
          <w:sz w:val="24"/>
          <w:szCs w:val="24"/>
        </w:rPr>
        <w:t xml:space="preserve">Diversity Council Australia </w:t>
      </w:r>
      <w:r w:rsidR="00E01E0F" w:rsidRPr="00FF1B99">
        <w:rPr>
          <w:rFonts w:asciiTheme="minorHAnsi" w:hAnsiTheme="minorHAnsi"/>
          <w:sz w:val="24"/>
          <w:szCs w:val="24"/>
        </w:rPr>
        <w:t>and</w:t>
      </w:r>
      <w:r w:rsidR="00A800AC" w:rsidRPr="00E01E0F">
        <w:rPr>
          <w:rFonts w:asciiTheme="minorHAnsi" w:hAnsiTheme="minorHAnsi"/>
          <w:sz w:val="24"/>
          <w:szCs w:val="24"/>
        </w:rPr>
        <w:t xml:space="preserve"> Australian Disability Network, </w:t>
      </w:r>
      <w:hyperlink r:id="rId5" w:history="1">
        <w:r w:rsidR="00A800AC" w:rsidRPr="00E01E0F">
          <w:rPr>
            <w:rStyle w:val="Hyperlink"/>
            <w:rFonts w:asciiTheme="minorHAnsi" w:hAnsiTheme="minorHAnsi"/>
            <w:i/>
            <w:iCs/>
            <w:sz w:val="24"/>
            <w:szCs w:val="24"/>
          </w:rPr>
          <w:t xml:space="preserve">Inclusion@Work Index: Disability Data at Work – </w:t>
        </w:r>
        <w:r w:rsidR="00E01E0F" w:rsidRPr="00FF1B99">
          <w:rPr>
            <w:rStyle w:val="Hyperlink"/>
            <w:rFonts w:asciiTheme="minorHAnsi" w:hAnsiTheme="minorHAnsi"/>
            <w:i/>
            <w:iCs/>
            <w:sz w:val="24"/>
            <w:szCs w:val="24"/>
          </w:rPr>
          <w:t>how organisations can capture disability data safely and r</w:t>
        </w:r>
        <w:r w:rsidR="00A800AC" w:rsidRPr="00E01E0F">
          <w:rPr>
            <w:rStyle w:val="Hyperlink"/>
            <w:rFonts w:asciiTheme="minorHAnsi" w:hAnsiTheme="minorHAnsi"/>
            <w:i/>
            <w:iCs/>
            <w:sz w:val="24"/>
            <w:szCs w:val="24"/>
          </w:rPr>
          <w:t>espectfully</w:t>
        </w:r>
      </w:hyperlink>
      <w:r w:rsidR="00A800AC" w:rsidRPr="00E01E0F">
        <w:rPr>
          <w:rFonts w:asciiTheme="minorHAnsi" w:hAnsiTheme="minorHAnsi"/>
          <w:sz w:val="24"/>
          <w:szCs w:val="24"/>
        </w:rPr>
        <w:t xml:space="preserve">, DCA, </w:t>
      </w:r>
      <w:r w:rsidR="00E01E0F" w:rsidRPr="00FF1B99">
        <w:rPr>
          <w:rFonts w:asciiTheme="minorHAnsi" w:hAnsiTheme="minorHAnsi"/>
          <w:sz w:val="24"/>
          <w:szCs w:val="24"/>
        </w:rPr>
        <w:t xml:space="preserve">Sydney, </w:t>
      </w:r>
      <w:r w:rsidR="00A800AC" w:rsidRPr="00E01E0F">
        <w:rPr>
          <w:rFonts w:asciiTheme="minorHAnsi" w:hAnsiTheme="minorHAnsi"/>
          <w:sz w:val="24"/>
          <w:szCs w:val="24"/>
        </w:rPr>
        <w:t>2024.</w:t>
      </w:r>
    </w:p>
  </w:endnote>
  <w:endnote w:id="7">
    <w:p w14:paraId="0B934CC9" w14:textId="39998B53" w:rsidR="00B9795A" w:rsidRPr="00FF1B99" w:rsidRDefault="00B9795A" w:rsidP="00D32BE3">
      <w:pPr>
        <w:pStyle w:val="EndnoteText"/>
        <w:spacing w:before="240"/>
        <w:rPr>
          <w:rFonts w:asciiTheme="minorHAnsi" w:hAnsiTheme="minorHAnsi"/>
          <w:sz w:val="24"/>
          <w:szCs w:val="24"/>
          <w:highlight w:val="yellow"/>
          <w:lang w:val="en-US"/>
        </w:rPr>
      </w:pPr>
      <w:r w:rsidRPr="000E1CF5">
        <w:rPr>
          <w:rStyle w:val="EndnoteReference"/>
          <w:rFonts w:asciiTheme="minorHAnsi" w:hAnsiTheme="minorHAnsi"/>
          <w:sz w:val="24"/>
          <w:szCs w:val="24"/>
        </w:rPr>
        <w:endnoteRef/>
      </w:r>
      <w:r w:rsidRPr="000E1CF5">
        <w:rPr>
          <w:rFonts w:asciiTheme="minorHAnsi" w:hAnsiTheme="minorHAnsi"/>
          <w:sz w:val="24"/>
          <w:szCs w:val="24"/>
        </w:rPr>
        <w:t xml:space="preserve"> </w:t>
      </w:r>
      <w:r w:rsidR="005B0657" w:rsidRPr="000E1CF5">
        <w:rPr>
          <w:rFonts w:asciiTheme="minorHAnsi" w:hAnsiTheme="minorHAnsi"/>
          <w:sz w:val="24"/>
          <w:szCs w:val="24"/>
          <w:lang w:val="en-US"/>
        </w:rPr>
        <w:t>Diversity Council Australi</w:t>
      </w:r>
      <w:r w:rsidR="008E3925" w:rsidRPr="000E1CF5">
        <w:rPr>
          <w:rFonts w:asciiTheme="minorHAnsi" w:hAnsiTheme="minorHAnsi"/>
          <w:sz w:val="24"/>
          <w:szCs w:val="24"/>
          <w:lang w:val="en-US"/>
        </w:rPr>
        <w:t>a</w:t>
      </w:r>
      <w:r w:rsidR="005B0657" w:rsidRPr="000E1CF5">
        <w:rPr>
          <w:rFonts w:asciiTheme="minorHAnsi" w:hAnsiTheme="minorHAnsi"/>
          <w:sz w:val="24"/>
          <w:szCs w:val="24"/>
          <w:lang w:val="en-US"/>
        </w:rPr>
        <w:t xml:space="preserve">, </w:t>
      </w:r>
      <w:hyperlink r:id="rId6" w:anchor=":~:text=Lever%202%3A%20Inclusive%20Communication" w:history="1">
        <w:r w:rsidR="005B0657" w:rsidRPr="000E1CF5">
          <w:rPr>
            <w:rStyle w:val="Hyperlink"/>
            <w:rFonts w:asciiTheme="minorHAnsi" w:hAnsiTheme="minorHAnsi"/>
            <w:i/>
            <w:iCs/>
            <w:sz w:val="24"/>
            <w:szCs w:val="24"/>
            <w:lang w:val="en-US"/>
          </w:rPr>
          <w:t>Inclusive</w:t>
        </w:r>
        <w:r w:rsidR="000E1CF5" w:rsidRPr="00FF1B99">
          <w:rPr>
            <w:rStyle w:val="Hyperlink"/>
            <w:rFonts w:asciiTheme="minorHAnsi" w:hAnsiTheme="minorHAnsi"/>
            <w:i/>
            <w:iCs/>
            <w:sz w:val="24"/>
            <w:szCs w:val="24"/>
            <w:lang w:val="en-US"/>
          </w:rPr>
          <w:t xml:space="preserve"> Teams Toolkit</w:t>
        </w:r>
        <w:r w:rsidR="005B0657" w:rsidRPr="000E1CF5">
          <w:rPr>
            <w:rStyle w:val="Hyperlink"/>
            <w:rFonts w:asciiTheme="minorHAnsi" w:hAnsiTheme="minorHAnsi"/>
            <w:i/>
            <w:iCs/>
            <w:sz w:val="24"/>
            <w:szCs w:val="24"/>
            <w:lang w:val="en-US"/>
          </w:rPr>
          <w:t>: Inclusive Teams at Wor</w:t>
        </w:r>
        <w:r w:rsidR="00540CDB" w:rsidRPr="00FF1B99">
          <w:rPr>
            <w:rStyle w:val="Hyperlink"/>
            <w:rFonts w:asciiTheme="minorHAnsi" w:hAnsiTheme="minorHAnsi"/>
            <w:i/>
            <w:iCs/>
            <w:sz w:val="24"/>
            <w:szCs w:val="24"/>
            <w:lang w:val="en-US"/>
          </w:rPr>
          <w:t>k</w:t>
        </w:r>
        <w:r w:rsidR="000E1CF5" w:rsidRPr="00FF1B99">
          <w:rPr>
            <w:rStyle w:val="Hyperlink"/>
            <w:rFonts w:asciiTheme="minorHAnsi" w:hAnsiTheme="minorHAnsi"/>
            <w:i/>
            <w:iCs/>
            <w:sz w:val="24"/>
            <w:szCs w:val="24"/>
            <w:lang w:val="en-US"/>
          </w:rPr>
          <w:t xml:space="preserve"> –</w:t>
        </w:r>
        <w:r w:rsidR="00540CDB" w:rsidRPr="00FF1B99">
          <w:rPr>
            <w:rStyle w:val="Hyperlink"/>
            <w:rFonts w:asciiTheme="minorHAnsi" w:hAnsiTheme="minorHAnsi"/>
            <w:i/>
            <w:iCs/>
            <w:sz w:val="24"/>
            <w:szCs w:val="24"/>
            <w:lang w:val="en-US"/>
          </w:rPr>
          <w:t xml:space="preserve"> how to build an inclusive team and be an inclusive team member</w:t>
        </w:r>
      </w:hyperlink>
      <w:r w:rsidR="005B0657" w:rsidRPr="000E1CF5">
        <w:rPr>
          <w:rFonts w:asciiTheme="minorHAnsi" w:hAnsiTheme="minorHAnsi"/>
          <w:sz w:val="24"/>
          <w:szCs w:val="24"/>
          <w:lang w:val="en-US"/>
        </w:rPr>
        <w:t xml:space="preserve">, </w:t>
      </w:r>
      <w:r w:rsidR="00361E54" w:rsidRPr="000E1CF5">
        <w:rPr>
          <w:rFonts w:asciiTheme="minorHAnsi" w:hAnsiTheme="minorHAnsi"/>
          <w:sz w:val="24"/>
          <w:szCs w:val="24"/>
          <w:lang w:val="en-US"/>
        </w:rPr>
        <w:t>DCA</w:t>
      </w:r>
      <w:r w:rsidR="005B0657" w:rsidRPr="000E1CF5">
        <w:rPr>
          <w:rFonts w:asciiTheme="minorHAnsi" w:hAnsiTheme="minorHAnsi"/>
          <w:sz w:val="24"/>
          <w:szCs w:val="24"/>
          <w:lang w:val="en-US"/>
        </w:rPr>
        <w:t xml:space="preserve">, </w:t>
      </w:r>
      <w:r w:rsidR="00540CDB" w:rsidRPr="00FF1B99">
        <w:rPr>
          <w:rFonts w:asciiTheme="minorHAnsi" w:hAnsiTheme="minorHAnsi"/>
          <w:sz w:val="24"/>
          <w:szCs w:val="24"/>
          <w:lang w:val="en-US"/>
        </w:rPr>
        <w:t xml:space="preserve">Sydney, </w:t>
      </w:r>
      <w:r w:rsidR="005B0657" w:rsidRPr="000E1CF5">
        <w:rPr>
          <w:rFonts w:asciiTheme="minorHAnsi" w:hAnsiTheme="minorHAnsi"/>
          <w:sz w:val="24"/>
          <w:szCs w:val="24"/>
          <w:lang w:val="en-US"/>
        </w:rPr>
        <w:t>2024.</w:t>
      </w:r>
    </w:p>
  </w:endnote>
  <w:endnote w:id="8">
    <w:p w14:paraId="6FBED571" w14:textId="2E8A23F5" w:rsidR="00814FB8" w:rsidRPr="00AB6705" w:rsidRDefault="00814FB8" w:rsidP="00D32BE3">
      <w:pPr>
        <w:pStyle w:val="EndnoteText"/>
        <w:spacing w:before="240"/>
        <w:rPr>
          <w:rFonts w:asciiTheme="minorHAnsi" w:hAnsiTheme="minorHAnsi"/>
          <w:sz w:val="24"/>
          <w:szCs w:val="24"/>
          <w:lang w:val="en-US"/>
        </w:rPr>
      </w:pPr>
      <w:r w:rsidRPr="00AB6705">
        <w:rPr>
          <w:rStyle w:val="EndnoteReference"/>
          <w:rFonts w:asciiTheme="minorHAnsi" w:hAnsiTheme="minorHAnsi"/>
          <w:sz w:val="24"/>
          <w:szCs w:val="24"/>
        </w:rPr>
        <w:endnoteRef/>
      </w:r>
      <w:r w:rsidRPr="00AB6705">
        <w:rPr>
          <w:rFonts w:asciiTheme="minorHAnsi" w:hAnsiTheme="minorHAnsi"/>
          <w:sz w:val="24"/>
          <w:szCs w:val="24"/>
        </w:rPr>
        <w:t xml:space="preserve"> </w:t>
      </w:r>
      <w:r w:rsidR="0087504B" w:rsidRPr="00AB6705">
        <w:rPr>
          <w:rFonts w:asciiTheme="minorHAnsi" w:hAnsiTheme="minorHAnsi"/>
          <w:sz w:val="24"/>
          <w:szCs w:val="24"/>
        </w:rPr>
        <w:t>Williams and Dolkas, “</w:t>
      </w:r>
      <w:hyperlink r:id="rId7" w:history="1">
        <w:r w:rsidR="00AB6705" w:rsidRPr="00AB6705">
          <w:rPr>
            <w:rStyle w:val="Hyperlink"/>
            <w:rFonts w:asciiTheme="minorHAnsi" w:hAnsiTheme="minorHAnsi"/>
            <w:sz w:val="24"/>
            <w:szCs w:val="24"/>
          </w:rPr>
          <w:t>Data-driven diversity</w:t>
        </w:r>
      </w:hyperlink>
      <w:r w:rsidR="0087504B" w:rsidRPr="00AB6705">
        <w:rPr>
          <w:rFonts w:asciiTheme="minorHAnsi" w:hAnsiTheme="minorHAnsi"/>
          <w:sz w:val="24"/>
          <w:szCs w:val="24"/>
        </w:rPr>
        <w:t>”.</w:t>
      </w:r>
    </w:p>
  </w:endnote>
  <w:endnote w:id="9">
    <w:p w14:paraId="1E9DEBAF" w14:textId="77777777" w:rsidR="00201F52" w:rsidRPr="00FF1B99" w:rsidRDefault="00201F52" w:rsidP="00D32BE3">
      <w:pPr>
        <w:pStyle w:val="EndnoteText"/>
        <w:spacing w:before="240"/>
        <w:rPr>
          <w:rFonts w:asciiTheme="minorHAnsi" w:hAnsiTheme="minorHAnsi"/>
          <w:sz w:val="24"/>
          <w:szCs w:val="24"/>
          <w:highlight w:val="yellow"/>
          <w:lang w:val="en-US"/>
        </w:rPr>
      </w:pPr>
      <w:r w:rsidRPr="00FF1B99">
        <w:rPr>
          <w:rStyle w:val="EndnoteReference"/>
          <w:rFonts w:asciiTheme="minorHAnsi" w:hAnsiTheme="minorHAnsi"/>
          <w:sz w:val="24"/>
          <w:szCs w:val="24"/>
        </w:rPr>
        <w:endnoteRef/>
      </w:r>
      <w:r w:rsidRPr="00FF1B99">
        <w:rPr>
          <w:rFonts w:asciiTheme="minorHAnsi" w:hAnsiTheme="minorHAnsi"/>
          <w:sz w:val="24"/>
          <w:szCs w:val="24"/>
        </w:rPr>
        <w:t xml:space="preserve"> Diversity Council Australia</w:t>
      </w:r>
      <w:r>
        <w:rPr>
          <w:rFonts w:asciiTheme="minorHAnsi" w:hAnsiTheme="minorHAnsi"/>
          <w:sz w:val="24"/>
          <w:szCs w:val="24"/>
        </w:rPr>
        <w:t xml:space="preserve"> and </w:t>
      </w:r>
      <w:r w:rsidRPr="00FF1B99">
        <w:rPr>
          <w:rFonts w:asciiTheme="minorHAnsi" w:hAnsiTheme="minorHAnsi"/>
          <w:sz w:val="24"/>
          <w:szCs w:val="24"/>
        </w:rPr>
        <w:t xml:space="preserve">University of Sydney Business School (R D’Almada-Remedios, D Groutsis, A Kaabel, and J O’Leary), </w:t>
      </w:r>
      <w:hyperlink r:id="rId8" w:history="1">
        <w:r w:rsidRPr="00FF1B99">
          <w:rPr>
            <w:rStyle w:val="Hyperlink"/>
            <w:rFonts w:asciiTheme="minorHAnsi" w:hAnsiTheme="minorHAnsi"/>
            <w:i/>
            <w:iCs/>
            <w:sz w:val="24"/>
            <w:szCs w:val="24"/>
          </w:rPr>
          <w:t>Counting Culture: towards a standardised approach to measuring and reporting on workforce cultural diversity in Australia</w:t>
        </w:r>
      </w:hyperlink>
      <w:r w:rsidRPr="00FF1B99">
        <w:rPr>
          <w:rFonts w:asciiTheme="minorHAnsi" w:hAnsiTheme="minorHAnsi"/>
          <w:sz w:val="24"/>
          <w:szCs w:val="24"/>
        </w:rPr>
        <w:t>, DCA, Sydney, 2021.</w:t>
      </w:r>
    </w:p>
  </w:endnote>
  <w:endnote w:id="10">
    <w:p w14:paraId="06A4727A" w14:textId="241B0492" w:rsidR="005A04BE" w:rsidRPr="00FF1B99" w:rsidRDefault="005A04BE" w:rsidP="00D32BE3">
      <w:pPr>
        <w:pStyle w:val="EndnoteText"/>
        <w:spacing w:before="240"/>
        <w:rPr>
          <w:rFonts w:asciiTheme="minorHAnsi" w:hAnsiTheme="minorHAnsi"/>
          <w:sz w:val="24"/>
          <w:szCs w:val="24"/>
          <w:highlight w:val="yellow"/>
          <w:lang w:val="en-US"/>
        </w:rPr>
      </w:pPr>
      <w:r w:rsidRPr="000E1CF5">
        <w:rPr>
          <w:rStyle w:val="EndnoteReference"/>
          <w:rFonts w:asciiTheme="minorHAnsi" w:hAnsiTheme="minorHAnsi"/>
          <w:sz w:val="24"/>
          <w:szCs w:val="24"/>
        </w:rPr>
        <w:endnoteRef/>
      </w:r>
      <w:r w:rsidRPr="000E1CF5">
        <w:rPr>
          <w:rFonts w:asciiTheme="minorHAnsi" w:hAnsiTheme="minorHAnsi"/>
          <w:sz w:val="24"/>
          <w:szCs w:val="24"/>
        </w:rPr>
        <w:t xml:space="preserve"> </w:t>
      </w:r>
      <w:r w:rsidR="000E1CF5" w:rsidRPr="00FF1B99">
        <w:rPr>
          <w:rFonts w:asciiTheme="minorHAnsi" w:hAnsiTheme="minorHAnsi"/>
          <w:sz w:val="24"/>
          <w:szCs w:val="24"/>
          <w:lang w:val="en-US"/>
        </w:rPr>
        <w:t>DCA</w:t>
      </w:r>
      <w:r w:rsidR="000C7493" w:rsidRPr="000E1CF5">
        <w:rPr>
          <w:rFonts w:asciiTheme="minorHAnsi" w:hAnsiTheme="minorHAnsi"/>
          <w:sz w:val="24"/>
          <w:szCs w:val="24"/>
          <w:lang w:val="en-US"/>
        </w:rPr>
        <w:t xml:space="preserve">, </w:t>
      </w:r>
      <w:hyperlink r:id="rId9" w:anchor=":~:text=Lever%202%3A%20Inclusive%20Communication" w:history="1">
        <w:r w:rsidR="000E1CF5" w:rsidRPr="000E1CF5">
          <w:rPr>
            <w:rStyle w:val="Hyperlink"/>
            <w:rFonts w:asciiTheme="minorHAnsi" w:hAnsiTheme="minorHAnsi"/>
            <w:i/>
            <w:iCs/>
            <w:sz w:val="24"/>
            <w:szCs w:val="24"/>
            <w:lang w:val="en-US"/>
          </w:rPr>
          <w:t>Inclusive Teams Toolkit</w:t>
        </w:r>
      </w:hyperlink>
      <w:r w:rsidR="000C7493" w:rsidRPr="000E1CF5">
        <w:rPr>
          <w:rFonts w:asciiTheme="minorHAnsi" w:hAnsiTheme="minorHAnsi"/>
          <w:sz w:val="24"/>
          <w:szCs w:val="24"/>
          <w:lang w:val="en-US"/>
        </w:rPr>
        <w:t>.</w:t>
      </w:r>
      <w:r w:rsidRPr="000E1CF5">
        <w:rPr>
          <w:rFonts w:asciiTheme="minorHAnsi" w:hAnsiTheme="minorHAnsi"/>
          <w:sz w:val="24"/>
          <w:szCs w:val="24"/>
          <w:lang w:val="en-US"/>
        </w:rPr>
        <w:t xml:space="preserve"> </w:t>
      </w:r>
    </w:p>
  </w:endnote>
  <w:endnote w:id="11">
    <w:p w14:paraId="5B046BC2" w14:textId="08F9F9C1" w:rsidR="00772163" w:rsidRPr="007A5DDE" w:rsidRDefault="00772163" w:rsidP="00D32BE3">
      <w:pPr>
        <w:pStyle w:val="EndnoteText"/>
        <w:spacing w:before="240"/>
        <w:rPr>
          <w:rFonts w:asciiTheme="minorHAnsi" w:hAnsiTheme="minorHAnsi"/>
        </w:rPr>
      </w:pPr>
      <w:r w:rsidRPr="007A5DDE">
        <w:rPr>
          <w:rStyle w:val="EndnoteReference"/>
          <w:rFonts w:asciiTheme="minorHAnsi" w:hAnsiTheme="minorHAnsi"/>
          <w:sz w:val="24"/>
          <w:szCs w:val="24"/>
        </w:rPr>
        <w:endnoteRef/>
      </w:r>
      <w:r w:rsidRPr="007A5DDE">
        <w:rPr>
          <w:rFonts w:asciiTheme="minorHAnsi" w:hAnsiTheme="minorHAnsi"/>
          <w:sz w:val="24"/>
          <w:szCs w:val="24"/>
        </w:rPr>
        <w:t xml:space="preserve"> </w:t>
      </w:r>
      <w:r w:rsidR="00A34CA3" w:rsidRPr="007A5DDE">
        <w:rPr>
          <w:rFonts w:asciiTheme="minorHAnsi" w:hAnsiTheme="minorHAnsi"/>
          <w:sz w:val="24"/>
          <w:szCs w:val="24"/>
        </w:rPr>
        <w:t xml:space="preserve">Australian Bureau of Statistics (ABS), </w:t>
      </w:r>
      <w:hyperlink r:id="rId10" w:anchor="key-statistics" w:history="1">
        <w:r w:rsidR="00F71CAE" w:rsidRPr="008F3CAC">
          <w:rPr>
            <w:rStyle w:val="Hyperlink"/>
            <w:rFonts w:asciiTheme="minorHAnsi" w:hAnsiTheme="minorHAnsi"/>
            <w:i/>
            <w:iCs/>
            <w:sz w:val="24"/>
            <w:szCs w:val="24"/>
          </w:rPr>
          <w:t>Estimates and characteristics of LGBTI+ populations in Australia</w:t>
        </w:r>
      </w:hyperlink>
      <w:r w:rsidR="00F71CAE" w:rsidRPr="007A5DDE">
        <w:rPr>
          <w:rFonts w:asciiTheme="minorHAnsi" w:hAnsiTheme="minorHAnsi"/>
          <w:sz w:val="24"/>
          <w:szCs w:val="24"/>
        </w:rPr>
        <w:t>, 2024.</w:t>
      </w:r>
    </w:p>
  </w:endnote>
  <w:endnote w:id="12">
    <w:p w14:paraId="2F4DDEDB" w14:textId="6C7215EC" w:rsidR="00B15717" w:rsidRPr="00FF1B99" w:rsidRDefault="00B15717" w:rsidP="00D32BE3">
      <w:pPr>
        <w:pStyle w:val="EndnoteText"/>
        <w:spacing w:before="240"/>
        <w:rPr>
          <w:rFonts w:asciiTheme="minorHAnsi" w:hAnsiTheme="minorHAnsi"/>
          <w:sz w:val="24"/>
          <w:szCs w:val="24"/>
          <w:highlight w:val="yellow"/>
          <w:lang w:val="en-US"/>
        </w:rPr>
      </w:pPr>
      <w:r w:rsidRPr="000E1CF5">
        <w:rPr>
          <w:rStyle w:val="EndnoteReference"/>
          <w:rFonts w:asciiTheme="minorHAnsi" w:hAnsiTheme="minorHAnsi"/>
          <w:sz w:val="24"/>
          <w:szCs w:val="24"/>
        </w:rPr>
        <w:endnoteRef/>
      </w:r>
      <w:r w:rsidRPr="000E1CF5">
        <w:rPr>
          <w:rFonts w:asciiTheme="minorHAnsi" w:hAnsiTheme="minorHAnsi"/>
          <w:sz w:val="24"/>
          <w:szCs w:val="24"/>
        </w:rPr>
        <w:t xml:space="preserve"> Diversity Council Australia (</w:t>
      </w:r>
      <w:r w:rsidR="00856A98" w:rsidRPr="00FF1B99">
        <w:rPr>
          <w:rFonts w:asciiTheme="minorHAnsi" w:hAnsiTheme="minorHAnsi"/>
          <w:sz w:val="24"/>
          <w:szCs w:val="24"/>
        </w:rPr>
        <w:t xml:space="preserve">J </w:t>
      </w:r>
      <w:r w:rsidRPr="000E1CF5">
        <w:rPr>
          <w:rFonts w:asciiTheme="minorHAnsi" w:hAnsiTheme="minorHAnsi"/>
          <w:sz w:val="24"/>
          <w:szCs w:val="24"/>
        </w:rPr>
        <w:t xml:space="preserve">O’Leary and </w:t>
      </w:r>
      <w:r w:rsidR="00856A98" w:rsidRPr="00FF1B99">
        <w:rPr>
          <w:rFonts w:asciiTheme="minorHAnsi" w:hAnsiTheme="minorHAnsi"/>
          <w:sz w:val="24"/>
          <w:szCs w:val="24"/>
        </w:rPr>
        <w:t xml:space="preserve">D </w:t>
      </w:r>
      <w:r w:rsidRPr="000E1CF5">
        <w:rPr>
          <w:rFonts w:asciiTheme="minorHAnsi" w:hAnsiTheme="minorHAnsi"/>
          <w:sz w:val="24"/>
          <w:szCs w:val="24"/>
        </w:rPr>
        <w:t xml:space="preserve">Groutsis), </w:t>
      </w:r>
      <w:r w:rsidR="000E1CF5">
        <w:rPr>
          <w:rFonts w:asciiTheme="minorHAnsi" w:hAnsiTheme="minorHAnsi"/>
          <w:sz w:val="24"/>
          <w:szCs w:val="24"/>
        </w:rPr>
        <w:t>“</w:t>
      </w:r>
      <w:hyperlink r:id="rId11" w:history="1">
        <w:r w:rsidR="000E1CF5" w:rsidRPr="00FF1B99">
          <w:rPr>
            <w:rStyle w:val="Hyperlink"/>
            <w:rFonts w:asciiTheme="minorHAnsi" w:hAnsiTheme="minorHAnsi"/>
            <w:sz w:val="24"/>
            <w:szCs w:val="24"/>
          </w:rPr>
          <w:t xml:space="preserve">DCA’s </w:t>
        </w:r>
        <w:r w:rsidR="00FF1B99" w:rsidRPr="00FF1B99">
          <w:rPr>
            <w:rStyle w:val="Hyperlink"/>
            <w:rFonts w:asciiTheme="minorHAnsi" w:hAnsiTheme="minorHAnsi"/>
            <w:sz w:val="24"/>
            <w:szCs w:val="24"/>
          </w:rPr>
          <w:t>c</w:t>
        </w:r>
        <w:r w:rsidRPr="00FF1B99">
          <w:rPr>
            <w:rStyle w:val="Hyperlink"/>
            <w:rFonts w:asciiTheme="minorHAnsi" w:hAnsiTheme="minorHAnsi"/>
            <w:sz w:val="24"/>
            <w:szCs w:val="24"/>
          </w:rPr>
          <w:t xml:space="preserve">ultural </w:t>
        </w:r>
        <w:r w:rsidR="00FF1B99" w:rsidRPr="00FF1B99">
          <w:rPr>
            <w:rStyle w:val="Hyperlink"/>
            <w:rFonts w:asciiTheme="minorHAnsi" w:hAnsiTheme="minorHAnsi"/>
            <w:sz w:val="24"/>
            <w:szCs w:val="24"/>
          </w:rPr>
          <w:t>d</w:t>
        </w:r>
        <w:r w:rsidRPr="00FF1B99">
          <w:rPr>
            <w:rStyle w:val="Hyperlink"/>
            <w:rFonts w:asciiTheme="minorHAnsi" w:hAnsiTheme="minorHAnsi"/>
            <w:sz w:val="24"/>
            <w:szCs w:val="24"/>
          </w:rPr>
          <w:t xml:space="preserve">iversity </w:t>
        </w:r>
        <w:r w:rsidR="00FF1B99" w:rsidRPr="00FF1B99">
          <w:rPr>
            <w:rStyle w:val="Hyperlink"/>
            <w:rFonts w:asciiTheme="minorHAnsi" w:hAnsiTheme="minorHAnsi"/>
            <w:sz w:val="24"/>
            <w:szCs w:val="24"/>
          </w:rPr>
          <w:t>d</w:t>
        </w:r>
        <w:r w:rsidRPr="00FF1B99">
          <w:rPr>
            <w:rStyle w:val="Hyperlink"/>
            <w:rFonts w:asciiTheme="minorHAnsi" w:hAnsiTheme="minorHAnsi"/>
            <w:sz w:val="24"/>
            <w:szCs w:val="24"/>
          </w:rPr>
          <w:t>efinition</w:t>
        </w:r>
      </w:hyperlink>
      <w:r w:rsidR="00FF1B99">
        <w:rPr>
          <w:rFonts w:asciiTheme="minorHAnsi" w:hAnsiTheme="minorHAnsi"/>
          <w:sz w:val="24"/>
          <w:szCs w:val="24"/>
        </w:rPr>
        <w:t xml:space="preserve">”, </w:t>
      </w:r>
      <w:r w:rsidR="00FF1B99">
        <w:rPr>
          <w:rFonts w:asciiTheme="minorHAnsi" w:hAnsiTheme="minorHAnsi"/>
          <w:i/>
          <w:iCs/>
          <w:sz w:val="24"/>
          <w:szCs w:val="24"/>
        </w:rPr>
        <w:t>Culture &amp; religion: overview</w:t>
      </w:r>
      <w:r w:rsidRPr="000E1CF5">
        <w:rPr>
          <w:rFonts w:asciiTheme="minorHAnsi" w:hAnsiTheme="minorHAnsi"/>
          <w:sz w:val="24"/>
          <w:szCs w:val="24"/>
        </w:rPr>
        <w:t xml:space="preserve">, </w:t>
      </w:r>
      <w:r w:rsidR="000853AB" w:rsidRPr="000E1CF5">
        <w:rPr>
          <w:rFonts w:asciiTheme="minorHAnsi" w:hAnsiTheme="minorHAnsi"/>
          <w:sz w:val="24"/>
          <w:szCs w:val="24"/>
        </w:rPr>
        <w:t>DCA</w:t>
      </w:r>
      <w:r w:rsidRPr="000E1CF5">
        <w:rPr>
          <w:rFonts w:asciiTheme="minorHAnsi" w:hAnsiTheme="minorHAnsi"/>
          <w:sz w:val="24"/>
          <w:szCs w:val="24"/>
        </w:rPr>
        <w:t>,</w:t>
      </w:r>
      <w:r w:rsidR="000E1CF5" w:rsidRPr="00FF1B99">
        <w:rPr>
          <w:rFonts w:asciiTheme="minorHAnsi" w:hAnsiTheme="minorHAnsi"/>
          <w:sz w:val="24"/>
          <w:szCs w:val="24"/>
        </w:rPr>
        <w:t xml:space="preserve"> Sydney,</w:t>
      </w:r>
      <w:r w:rsidRPr="000E1CF5">
        <w:rPr>
          <w:rFonts w:asciiTheme="minorHAnsi" w:hAnsiTheme="minorHAnsi"/>
          <w:sz w:val="24"/>
          <w:szCs w:val="24"/>
        </w:rPr>
        <w:t xml:space="preserve"> 26 June 2020.</w:t>
      </w:r>
    </w:p>
  </w:endnote>
  <w:endnote w:id="13">
    <w:p w14:paraId="517832AB" w14:textId="7DFCF865" w:rsidR="00AC609F" w:rsidRPr="00F13391" w:rsidRDefault="00AC609F" w:rsidP="00D32BE3">
      <w:pPr>
        <w:spacing w:before="240"/>
      </w:pPr>
      <w:r w:rsidRPr="008C2EBE">
        <w:rPr>
          <w:rStyle w:val="EndnoteReference"/>
          <w:szCs w:val="24"/>
        </w:rPr>
        <w:endnoteRef/>
      </w:r>
      <w:r w:rsidRPr="008C2EBE">
        <w:t xml:space="preserve"> </w:t>
      </w:r>
      <w:r w:rsidR="008C2EBE">
        <w:t>Diversity Council Australia (V</w:t>
      </w:r>
      <w:r w:rsidR="00F215BC">
        <w:t xml:space="preserve"> Mapedzahama, A Ojinnaka, S Deo and J O’Leary), </w:t>
      </w:r>
      <w:hyperlink r:id="rId12" w:history="1">
        <w:r w:rsidR="00F215BC" w:rsidRPr="00F13391">
          <w:rPr>
            <w:rStyle w:val="Hyperlink"/>
            <w:i/>
            <w:iCs/>
          </w:rPr>
          <w:t>Centring Marginalised Voices at Work: lessons from DCA’s Culturally and Racially Marginalised (CARM) Women in Leadership research</w:t>
        </w:r>
      </w:hyperlink>
      <w:r w:rsidR="00914EC9">
        <w:t>, DCA, Sydney, 2024, p. 6;</w:t>
      </w:r>
      <w:r w:rsidR="003E216E">
        <w:t xml:space="preserve"> </w:t>
      </w:r>
      <w:r w:rsidR="003E216E" w:rsidRPr="003E216E">
        <w:t>JC Williams, D Lewin Loyd, M Boginsky and F Armas-Edwards, “</w:t>
      </w:r>
      <w:hyperlink r:id="rId13" w:history="1">
        <w:r w:rsidR="003E216E" w:rsidRPr="00F13391">
          <w:rPr>
            <w:rStyle w:val="Hyperlink"/>
          </w:rPr>
          <w:t>How one company worked to root out bias from performance reviews</w:t>
        </w:r>
      </w:hyperlink>
      <w:r w:rsidR="003E216E" w:rsidRPr="003E216E">
        <w:t>”, Harvard Business Review, 21 April 2021; RA Smith, “Do the determinants of promotion differ for white men versus women and minorities? An exploration of intersectionalism through sponsored and contest mobility processes”, American Behavioral Scientist, 2005, 48(9):1,157–1,181.</w:t>
      </w:r>
    </w:p>
  </w:endnote>
  <w:endnote w:id="14">
    <w:p w14:paraId="0B3CA4CA" w14:textId="45CF01E4" w:rsidR="00AC609F" w:rsidRPr="00F13391" w:rsidRDefault="00AC609F" w:rsidP="00D32BE3">
      <w:pPr>
        <w:spacing w:before="240"/>
      </w:pPr>
      <w:r w:rsidRPr="008C2EBE">
        <w:rPr>
          <w:rStyle w:val="EndnoteReference"/>
          <w:szCs w:val="24"/>
        </w:rPr>
        <w:endnoteRef/>
      </w:r>
      <w:r w:rsidRPr="008C2EBE">
        <w:t xml:space="preserve"> </w:t>
      </w:r>
      <w:r w:rsidR="00F13391" w:rsidRPr="00F13391">
        <w:t xml:space="preserve">DCA, </w:t>
      </w:r>
      <w:hyperlink r:id="rId14" w:history="1">
        <w:r w:rsidR="00F13391" w:rsidRPr="00F13391">
          <w:rPr>
            <w:rStyle w:val="Hyperlink"/>
            <w:i/>
            <w:iCs/>
          </w:rPr>
          <w:t>Centring Marginalised Voices at Work</w:t>
        </w:r>
      </w:hyperlink>
      <w:r w:rsidR="00F13391" w:rsidRPr="00F13391">
        <w:t>, p 6.</w:t>
      </w:r>
    </w:p>
  </w:endnote>
  <w:endnote w:id="15">
    <w:p w14:paraId="7AB5219A" w14:textId="5F0981E3" w:rsidR="00690355" w:rsidRPr="00F13391" w:rsidRDefault="00690355" w:rsidP="00D32BE3">
      <w:pPr>
        <w:spacing w:before="240"/>
      </w:pPr>
      <w:r w:rsidRPr="008C2EBE">
        <w:rPr>
          <w:rStyle w:val="EndnoteReference"/>
          <w:szCs w:val="24"/>
        </w:rPr>
        <w:endnoteRef/>
      </w:r>
      <w:r w:rsidR="00F13391">
        <w:t xml:space="preserve"> </w:t>
      </w:r>
      <w:r w:rsidR="00F13391" w:rsidRPr="00F13391">
        <w:t xml:space="preserve">Diversity Council Australia (P Anderson, V Mapedzahama, A Kaabel and J O’Leary), </w:t>
      </w:r>
      <w:hyperlink r:id="rId15" w:history="1">
        <w:r w:rsidR="00F13391" w:rsidRPr="00F13391">
          <w:rPr>
            <w:rStyle w:val="Hyperlink"/>
            <w:i/>
            <w:iCs/>
          </w:rPr>
          <w:t>Racism at Work: how organisations can stand up to and end workplace racism</w:t>
        </w:r>
      </w:hyperlink>
      <w:r w:rsidR="00F13391" w:rsidRPr="00F13391">
        <w:t>, DCA, Sydney, 2022, p 40.</w:t>
      </w:r>
    </w:p>
  </w:endnote>
  <w:endnote w:id="16">
    <w:p w14:paraId="7B950CBF" w14:textId="31B3D7F3" w:rsidR="003C17B6" w:rsidRPr="00A560E0" w:rsidRDefault="003C17B6" w:rsidP="00D32BE3">
      <w:pPr>
        <w:spacing w:before="240"/>
        <w:rPr>
          <w:lang w:val="en-US"/>
        </w:rPr>
      </w:pPr>
      <w:r w:rsidRPr="00AB6705">
        <w:rPr>
          <w:rStyle w:val="EndnoteReference"/>
          <w:szCs w:val="24"/>
        </w:rPr>
        <w:endnoteRef/>
      </w:r>
      <w:r w:rsidRPr="00AB6705">
        <w:t xml:space="preserve"> Australian Human Rights Commission</w:t>
      </w:r>
      <w:r w:rsidR="00AB6705" w:rsidRPr="00FF1B99">
        <w:t xml:space="preserve"> (AHRC)</w:t>
      </w:r>
      <w:r w:rsidRPr="00AB6705">
        <w:t xml:space="preserve">, </w:t>
      </w:r>
      <w:hyperlink r:id="rId16" w:history="1">
        <w:r w:rsidRPr="00AB6705">
          <w:rPr>
            <w:rStyle w:val="Hyperlink"/>
            <w:i/>
            <w:iCs/>
            <w:szCs w:val="24"/>
          </w:rPr>
          <w:t xml:space="preserve">Willing to </w:t>
        </w:r>
        <w:r w:rsidR="00AB6705" w:rsidRPr="00FF1B99">
          <w:rPr>
            <w:rStyle w:val="Hyperlink"/>
            <w:i/>
            <w:iCs/>
            <w:szCs w:val="24"/>
          </w:rPr>
          <w:t>w</w:t>
        </w:r>
        <w:r w:rsidRPr="00AB6705">
          <w:rPr>
            <w:rStyle w:val="Hyperlink"/>
            <w:i/>
            <w:iCs/>
            <w:szCs w:val="24"/>
          </w:rPr>
          <w:t>ork: National Inquiry into Employment Discrimination Against Older Australians and Australians with Disability</w:t>
        </w:r>
      </w:hyperlink>
      <w:r w:rsidRPr="00AB6705">
        <w:rPr>
          <w:i/>
          <w:iCs/>
        </w:rPr>
        <w:t xml:space="preserve">, </w:t>
      </w:r>
      <w:r w:rsidRPr="00AB6705">
        <w:t xml:space="preserve">AHRC, </w:t>
      </w:r>
      <w:r w:rsidR="00AB6705" w:rsidRPr="00FF1B99">
        <w:t xml:space="preserve">Sydney, </w:t>
      </w:r>
      <w:r w:rsidRPr="00AB6705">
        <w:t>2016.</w:t>
      </w:r>
    </w:p>
  </w:endnote>
  <w:endnote w:id="17">
    <w:p w14:paraId="560611D1" w14:textId="7490074A" w:rsidR="00D86CB3" w:rsidRPr="00F13391" w:rsidRDefault="00D86CB3" w:rsidP="00D32BE3">
      <w:pPr>
        <w:spacing w:before="240"/>
      </w:pPr>
      <w:r w:rsidRPr="00856A98">
        <w:rPr>
          <w:rStyle w:val="EndnoteReference"/>
          <w:szCs w:val="24"/>
        </w:rPr>
        <w:endnoteRef/>
      </w:r>
      <w:r w:rsidRPr="00856A98">
        <w:t xml:space="preserve"> </w:t>
      </w:r>
      <w:r w:rsidR="00F13391" w:rsidRPr="00F13391">
        <w:t xml:space="preserve">DCA, </w:t>
      </w:r>
      <w:hyperlink r:id="rId17" w:history="1">
        <w:r w:rsidR="00F13391" w:rsidRPr="00F13391">
          <w:rPr>
            <w:rStyle w:val="Hyperlink"/>
            <w:i/>
            <w:iCs/>
          </w:rPr>
          <w:t>Racism at Work</w:t>
        </w:r>
      </w:hyperlink>
      <w:r w:rsidR="00F13391" w:rsidRPr="00F13391">
        <w:t>, p 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Univers 45 Light">
    <w:altName w:val="Calibri"/>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Wingdings 2">
    <w:charset w:val="02"/>
    <w:family w:val="roman"/>
    <w:pitch w:val="variable"/>
    <w:sig w:usb0="00000000" w:usb1="10000000" w:usb2="00000000" w:usb3="00000000" w:csb0="80000000" w:csb1="00000000"/>
  </w:font>
  <w:font w:name="TheSans-B3Light">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027291"/>
      <w:docPartObj>
        <w:docPartGallery w:val="Page Numbers (Bottom of Page)"/>
        <w:docPartUnique/>
      </w:docPartObj>
    </w:sdtPr>
    <w:sdtEndPr>
      <w:rPr>
        <w:noProof/>
      </w:rPr>
    </w:sdtEndPr>
    <w:sdtContent>
      <w:p w14:paraId="05587259" w14:textId="3FAC5BF3" w:rsidR="003068A3" w:rsidRDefault="003068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33A88" w14:textId="45DCFB93" w:rsidR="003068A3" w:rsidRDefault="00563E6E" w:rsidP="00563E6E">
    <w:pPr>
      <w:pStyle w:val="Footer"/>
      <w:jc w:val="center"/>
    </w:pPr>
    <w:r>
      <w:t>DCA © 2025 – Commercial-in-confidence (DCA members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FF68" w14:textId="77777777" w:rsidR="00651A41" w:rsidRDefault="00651A41" w:rsidP="00D00512">
      <w:pPr>
        <w:spacing w:after="0" w:line="240" w:lineRule="auto"/>
      </w:pPr>
      <w:r>
        <w:separator/>
      </w:r>
    </w:p>
  </w:footnote>
  <w:footnote w:type="continuationSeparator" w:id="0">
    <w:p w14:paraId="10B00B2B" w14:textId="77777777" w:rsidR="00651A41" w:rsidRDefault="00651A41" w:rsidP="00D00512">
      <w:pPr>
        <w:spacing w:after="0" w:line="240" w:lineRule="auto"/>
      </w:pPr>
      <w:r>
        <w:continuationSeparator/>
      </w:r>
    </w:p>
  </w:footnote>
  <w:footnote w:type="continuationNotice" w:id="1">
    <w:p w14:paraId="12672766" w14:textId="77777777" w:rsidR="00651A41" w:rsidRDefault="00651A41">
      <w:pPr>
        <w:spacing w:after="0" w:line="240" w:lineRule="auto"/>
      </w:pPr>
    </w:p>
  </w:footnote>
  <w:footnote w:id="2">
    <w:p w14:paraId="20AB5EB4" w14:textId="0D5ECF16" w:rsidR="00EA26AA" w:rsidRPr="00500099" w:rsidRDefault="00EA26AA">
      <w:pPr>
        <w:pStyle w:val="FootnoteText"/>
        <w:rPr>
          <w:sz w:val="22"/>
          <w:szCs w:val="22"/>
          <w:lang w:val="en-US"/>
        </w:rPr>
      </w:pPr>
      <w:r w:rsidRPr="00500099">
        <w:rPr>
          <w:rStyle w:val="FootnoteReference"/>
          <w:sz w:val="22"/>
          <w:szCs w:val="22"/>
        </w:rPr>
        <w:footnoteRef/>
      </w:r>
      <w:r w:rsidRPr="00500099">
        <w:rPr>
          <w:sz w:val="22"/>
          <w:szCs w:val="22"/>
        </w:rPr>
        <w:t xml:space="preserve"> </w:t>
      </w:r>
      <w:r w:rsidRPr="00500099">
        <w:rPr>
          <w:sz w:val="22"/>
          <w:szCs w:val="22"/>
          <w:lang w:val="en-US"/>
        </w:rPr>
        <w:t xml:space="preserve">The ABS Census </w:t>
      </w:r>
      <w:r>
        <w:rPr>
          <w:sz w:val="22"/>
          <w:szCs w:val="22"/>
          <w:lang w:val="en-US"/>
        </w:rPr>
        <w:t xml:space="preserve">currently </w:t>
      </w:r>
      <w:r w:rsidRPr="00500099">
        <w:rPr>
          <w:sz w:val="22"/>
          <w:szCs w:val="22"/>
          <w:lang w:val="en-US"/>
        </w:rPr>
        <w:t xml:space="preserve">collects data on sex, not gender, and has only published data for female and male responses. </w:t>
      </w:r>
    </w:p>
  </w:footnote>
  <w:footnote w:id="3">
    <w:p w14:paraId="3C055F6C" w14:textId="467BC87D" w:rsidR="00EA26AA" w:rsidRPr="00500099" w:rsidRDefault="00EA26AA">
      <w:pPr>
        <w:pStyle w:val="FootnoteText"/>
        <w:rPr>
          <w:sz w:val="22"/>
          <w:szCs w:val="22"/>
          <w:lang w:val="en-US"/>
        </w:rPr>
      </w:pPr>
      <w:r w:rsidRPr="00500099">
        <w:rPr>
          <w:rStyle w:val="FootnoteReference"/>
          <w:sz w:val="22"/>
          <w:szCs w:val="22"/>
        </w:rPr>
        <w:footnoteRef/>
      </w:r>
      <w:r w:rsidRPr="00500099">
        <w:rPr>
          <w:sz w:val="22"/>
          <w:szCs w:val="22"/>
        </w:rPr>
        <w:t xml:space="preserve"> Australian Bureau of Statistics (ABS), </w:t>
      </w:r>
      <w:hyperlink r:id="rId1" w:history="1">
        <w:r w:rsidRPr="00B6356C">
          <w:rPr>
            <w:rStyle w:val="Hyperlink"/>
            <w:i/>
            <w:iCs/>
            <w:sz w:val="22"/>
            <w:szCs w:val="22"/>
          </w:rPr>
          <w:t>Survey of disability and ageing and caring</w:t>
        </w:r>
      </w:hyperlink>
      <w:r w:rsidRPr="00500099">
        <w:rPr>
          <w:sz w:val="22"/>
          <w:szCs w:val="22"/>
        </w:rPr>
        <w:t xml:space="preserve">, 2018. </w:t>
      </w:r>
    </w:p>
  </w:footnote>
  <w:footnote w:id="4">
    <w:p w14:paraId="4E73DE54" w14:textId="3F388961" w:rsidR="00EA26AA" w:rsidRPr="00110AE4" w:rsidRDefault="00EA26AA" w:rsidP="00110AE4">
      <w:pPr>
        <w:pStyle w:val="FootnoteText"/>
        <w:rPr>
          <w:sz w:val="22"/>
          <w:szCs w:val="22"/>
        </w:rPr>
      </w:pPr>
      <w:r w:rsidRPr="00500099">
        <w:rPr>
          <w:rStyle w:val="FootnoteReference"/>
          <w:sz w:val="22"/>
          <w:szCs w:val="22"/>
        </w:rPr>
        <w:footnoteRef/>
      </w:r>
      <w:r w:rsidRPr="00500099">
        <w:rPr>
          <w:sz w:val="22"/>
          <w:szCs w:val="22"/>
        </w:rPr>
        <w:t xml:space="preserve"> </w:t>
      </w:r>
      <w:r>
        <w:rPr>
          <w:sz w:val="22"/>
          <w:szCs w:val="22"/>
        </w:rPr>
        <w:t xml:space="preserve">This statistic is an ABS estimate using four ABS household surveys that have been done since the introduction of </w:t>
      </w:r>
      <w:r w:rsidRPr="004F62DC">
        <w:rPr>
          <w:sz w:val="22"/>
          <w:szCs w:val="22"/>
        </w:rPr>
        <w:t>the</w:t>
      </w:r>
      <w:r w:rsidRPr="004F62DC">
        <w:rPr>
          <w:i/>
          <w:iCs/>
          <w:sz w:val="22"/>
          <w:szCs w:val="22"/>
        </w:rPr>
        <w:t xml:space="preserve"> </w:t>
      </w:r>
      <w:hyperlink r:id="rId2" w:history="1">
        <w:r w:rsidRPr="00110AE4">
          <w:rPr>
            <w:rStyle w:val="Hyperlink"/>
            <w:i/>
            <w:iCs/>
            <w:sz w:val="22"/>
            <w:szCs w:val="22"/>
          </w:rPr>
          <w:t xml:space="preserve">Standard for </w:t>
        </w:r>
        <w:r>
          <w:rPr>
            <w:rStyle w:val="Hyperlink"/>
            <w:i/>
            <w:iCs/>
            <w:sz w:val="22"/>
            <w:szCs w:val="22"/>
          </w:rPr>
          <w:t>s</w:t>
        </w:r>
        <w:r w:rsidRPr="00110AE4">
          <w:rPr>
            <w:rStyle w:val="Hyperlink"/>
            <w:i/>
            <w:iCs/>
            <w:sz w:val="22"/>
            <w:szCs w:val="22"/>
          </w:rPr>
          <w:t xml:space="preserve">ex, </w:t>
        </w:r>
        <w:r>
          <w:rPr>
            <w:rStyle w:val="Hyperlink"/>
            <w:i/>
            <w:iCs/>
            <w:sz w:val="22"/>
            <w:szCs w:val="22"/>
          </w:rPr>
          <w:t>g</w:t>
        </w:r>
        <w:r w:rsidRPr="00110AE4">
          <w:rPr>
            <w:rStyle w:val="Hyperlink"/>
            <w:i/>
            <w:iCs/>
            <w:sz w:val="22"/>
            <w:szCs w:val="22"/>
          </w:rPr>
          <w:t xml:space="preserve">ender, </w:t>
        </w:r>
        <w:r>
          <w:rPr>
            <w:rStyle w:val="Hyperlink"/>
            <w:i/>
            <w:iCs/>
            <w:sz w:val="22"/>
            <w:szCs w:val="22"/>
          </w:rPr>
          <w:t>v</w:t>
        </w:r>
        <w:r w:rsidRPr="00110AE4">
          <w:rPr>
            <w:rStyle w:val="Hyperlink"/>
            <w:i/>
            <w:iCs/>
            <w:sz w:val="22"/>
            <w:szCs w:val="22"/>
          </w:rPr>
          <w:t xml:space="preserve">ariations of </w:t>
        </w:r>
        <w:r>
          <w:rPr>
            <w:rStyle w:val="Hyperlink"/>
            <w:i/>
            <w:iCs/>
            <w:sz w:val="22"/>
            <w:szCs w:val="22"/>
          </w:rPr>
          <w:t>s</w:t>
        </w:r>
        <w:r w:rsidRPr="00110AE4">
          <w:rPr>
            <w:rStyle w:val="Hyperlink"/>
            <w:i/>
            <w:iCs/>
            <w:sz w:val="22"/>
            <w:szCs w:val="22"/>
          </w:rPr>
          <w:t xml:space="preserve">ex </w:t>
        </w:r>
        <w:r>
          <w:rPr>
            <w:rStyle w:val="Hyperlink"/>
            <w:i/>
            <w:iCs/>
            <w:sz w:val="22"/>
            <w:szCs w:val="22"/>
          </w:rPr>
          <w:t>c</w:t>
        </w:r>
        <w:r w:rsidRPr="00110AE4">
          <w:rPr>
            <w:rStyle w:val="Hyperlink"/>
            <w:i/>
            <w:iCs/>
            <w:sz w:val="22"/>
            <w:szCs w:val="22"/>
          </w:rPr>
          <w:t xml:space="preserve">haracteristics and </w:t>
        </w:r>
        <w:r>
          <w:rPr>
            <w:rStyle w:val="Hyperlink"/>
            <w:i/>
            <w:iCs/>
            <w:sz w:val="22"/>
            <w:szCs w:val="22"/>
          </w:rPr>
          <w:t>s</w:t>
        </w:r>
        <w:r w:rsidRPr="00110AE4">
          <w:rPr>
            <w:rStyle w:val="Hyperlink"/>
            <w:i/>
            <w:iCs/>
            <w:sz w:val="22"/>
            <w:szCs w:val="22"/>
          </w:rPr>
          <w:t xml:space="preserve">exual </w:t>
        </w:r>
        <w:r>
          <w:rPr>
            <w:rStyle w:val="Hyperlink"/>
            <w:i/>
            <w:iCs/>
            <w:sz w:val="22"/>
            <w:szCs w:val="22"/>
          </w:rPr>
          <w:t>o</w:t>
        </w:r>
        <w:r w:rsidRPr="00110AE4">
          <w:rPr>
            <w:rStyle w:val="Hyperlink"/>
            <w:i/>
            <w:iCs/>
            <w:sz w:val="22"/>
            <w:szCs w:val="22"/>
          </w:rPr>
          <w:t xml:space="preserve">rientation </w:t>
        </w:r>
        <w:r>
          <w:rPr>
            <w:rStyle w:val="Hyperlink"/>
            <w:i/>
            <w:iCs/>
            <w:sz w:val="22"/>
            <w:szCs w:val="22"/>
          </w:rPr>
          <w:t>v</w:t>
        </w:r>
        <w:r w:rsidRPr="00110AE4">
          <w:rPr>
            <w:rStyle w:val="Hyperlink"/>
            <w:i/>
            <w:iCs/>
            <w:sz w:val="22"/>
            <w:szCs w:val="22"/>
          </w:rPr>
          <w:t>ariables</w:t>
        </w:r>
      </w:hyperlink>
      <w:r>
        <w:rPr>
          <w:sz w:val="22"/>
          <w:szCs w:val="22"/>
        </w:rPr>
        <w:t xml:space="preserve"> in 2020. The 4.5% figure refers to Australians 16 years and over who are LGBTI+, rather than employed Australians over 18; ABS, </w:t>
      </w:r>
      <w:hyperlink r:id="rId3" w:anchor="key-statistics" w:history="1">
        <w:r w:rsidRPr="00110AE4">
          <w:rPr>
            <w:rStyle w:val="Hyperlink"/>
            <w:i/>
            <w:iCs/>
            <w:sz w:val="22"/>
            <w:szCs w:val="22"/>
          </w:rPr>
          <w:t>Estimates and characteristics of LGBTI+ populations in Australia</w:t>
        </w:r>
      </w:hyperlink>
      <w:r>
        <w:rPr>
          <w:sz w:val="22"/>
          <w:szCs w:val="22"/>
        </w:rPr>
        <w:t>, 2024.</w:t>
      </w:r>
    </w:p>
  </w:footnote>
  <w:footnote w:id="5">
    <w:p w14:paraId="0080690C" w14:textId="798D88A5" w:rsidR="00EA26AA" w:rsidRPr="00500099" w:rsidRDefault="00EA26AA" w:rsidP="00671B8D">
      <w:pPr>
        <w:pStyle w:val="FootnoteText"/>
        <w:rPr>
          <w:sz w:val="22"/>
          <w:szCs w:val="22"/>
        </w:rPr>
      </w:pPr>
      <w:r w:rsidRPr="00500099">
        <w:rPr>
          <w:rStyle w:val="FootnoteReference"/>
          <w:sz w:val="22"/>
          <w:szCs w:val="22"/>
        </w:rPr>
        <w:footnoteRef/>
      </w:r>
      <w:r w:rsidRPr="00500099">
        <w:rPr>
          <w:sz w:val="22"/>
          <w:szCs w:val="22"/>
        </w:rPr>
        <w:t xml:space="preserve"> </w:t>
      </w:r>
      <w:r>
        <w:rPr>
          <w:sz w:val="22"/>
          <w:szCs w:val="22"/>
        </w:rPr>
        <w:t>“</w:t>
      </w:r>
      <w:r w:rsidRPr="00500099">
        <w:rPr>
          <w:sz w:val="22"/>
          <w:szCs w:val="22"/>
        </w:rPr>
        <w:t>Unpaid care for child/children</w:t>
      </w:r>
      <w:r>
        <w:rPr>
          <w:sz w:val="22"/>
          <w:szCs w:val="22"/>
        </w:rPr>
        <w:t>”</w:t>
      </w:r>
      <w:r w:rsidRPr="00500099">
        <w:rPr>
          <w:sz w:val="22"/>
          <w:szCs w:val="22"/>
        </w:rPr>
        <w:t xml:space="preserve"> and providing unpaid assistance to </w:t>
      </w:r>
      <w:r>
        <w:rPr>
          <w:sz w:val="22"/>
          <w:szCs w:val="22"/>
        </w:rPr>
        <w:t>“</w:t>
      </w:r>
      <w:r w:rsidRPr="00500099">
        <w:rPr>
          <w:sz w:val="22"/>
          <w:szCs w:val="22"/>
        </w:rPr>
        <w:t>a person with disability, health condition, or due to old age</w:t>
      </w:r>
      <w:r>
        <w:rPr>
          <w:sz w:val="22"/>
          <w:szCs w:val="22"/>
        </w:rPr>
        <w:t>”</w:t>
      </w:r>
      <w:r w:rsidRPr="00500099">
        <w:rPr>
          <w:sz w:val="22"/>
          <w:szCs w:val="22"/>
        </w:rPr>
        <w:t xml:space="preserve"> are </w:t>
      </w:r>
      <w:r>
        <w:rPr>
          <w:sz w:val="22"/>
          <w:szCs w:val="22"/>
        </w:rPr>
        <w:t>two</w:t>
      </w:r>
      <w:r w:rsidRPr="00500099">
        <w:rPr>
          <w:sz w:val="22"/>
          <w:szCs w:val="22"/>
        </w:rPr>
        <w:t xml:space="preserve"> separate questions in the </w:t>
      </w:r>
      <w:r>
        <w:rPr>
          <w:sz w:val="22"/>
          <w:szCs w:val="22"/>
        </w:rPr>
        <w:t>Ce</w:t>
      </w:r>
      <w:r w:rsidRPr="00500099">
        <w:rPr>
          <w:sz w:val="22"/>
          <w:szCs w:val="22"/>
        </w:rPr>
        <w:t>nsus.</w:t>
      </w:r>
    </w:p>
    <w:p w14:paraId="4E7741EF" w14:textId="594A9027" w:rsidR="00EA26AA" w:rsidRPr="00671B8D" w:rsidRDefault="00EA26AA">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399"/>
    <w:multiLevelType w:val="hybridMultilevel"/>
    <w:tmpl w:val="2B5A94F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2DC635C"/>
    <w:multiLevelType w:val="hybridMultilevel"/>
    <w:tmpl w:val="F4EA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65F0C"/>
    <w:multiLevelType w:val="hybridMultilevel"/>
    <w:tmpl w:val="4C9E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D1F08"/>
    <w:multiLevelType w:val="hybridMultilevel"/>
    <w:tmpl w:val="40CEB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17ECE"/>
    <w:multiLevelType w:val="hybridMultilevel"/>
    <w:tmpl w:val="39FCDB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B05A60"/>
    <w:multiLevelType w:val="hybridMultilevel"/>
    <w:tmpl w:val="C540A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0249C"/>
    <w:multiLevelType w:val="hybridMultilevel"/>
    <w:tmpl w:val="4322D770"/>
    <w:lvl w:ilvl="0" w:tplc="848ECB4A">
      <w:start w:val="1"/>
      <w:numFmt w:val="lowerLetter"/>
      <w:lvlText w:val="%1)"/>
      <w:lvlJc w:val="left"/>
      <w:pPr>
        <w:ind w:left="1020" w:hanging="360"/>
      </w:pPr>
    </w:lvl>
    <w:lvl w:ilvl="1" w:tplc="63DC5A66">
      <w:start w:val="1"/>
      <w:numFmt w:val="lowerLetter"/>
      <w:lvlText w:val="%2)"/>
      <w:lvlJc w:val="left"/>
      <w:pPr>
        <w:ind w:left="1020" w:hanging="360"/>
      </w:pPr>
    </w:lvl>
    <w:lvl w:ilvl="2" w:tplc="5AB8C21E">
      <w:start w:val="1"/>
      <w:numFmt w:val="lowerLetter"/>
      <w:lvlText w:val="%3)"/>
      <w:lvlJc w:val="left"/>
      <w:pPr>
        <w:ind w:left="1020" w:hanging="360"/>
      </w:pPr>
    </w:lvl>
    <w:lvl w:ilvl="3" w:tplc="A91AD100">
      <w:start w:val="1"/>
      <w:numFmt w:val="lowerLetter"/>
      <w:lvlText w:val="%4)"/>
      <w:lvlJc w:val="left"/>
      <w:pPr>
        <w:ind w:left="1020" w:hanging="360"/>
      </w:pPr>
    </w:lvl>
    <w:lvl w:ilvl="4" w:tplc="641850EE">
      <w:start w:val="1"/>
      <w:numFmt w:val="lowerLetter"/>
      <w:lvlText w:val="%5)"/>
      <w:lvlJc w:val="left"/>
      <w:pPr>
        <w:ind w:left="1020" w:hanging="360"/>
      </w:pPr>
    </w:lvl>
    <w:lvl w:ilvl="5" w:tplc="0EE83EDC">
      <w:start w:val="1"/>
      <w:numFmt w:val="lowerLetter"/>
      <w:lvlText w:val="%6)"/>
      <w:lvlJc w:val="left"/>
      <w:pPr>
        <w:ind w:left="1020" w:hanging="360"/>
      </w:pPr>
    </w:lvl>
    <w:lvl w:ilvl="6" w:tplc="FB1862EC">
      <w:start w:val="1"/>
      <w:numFmt w:val="lowerLetter"/>
      <w:lvlText w:val="%7)"/>
      <w:lvlJc w:val="left"/>
      <w:pPr>
        <w:ind w:left="1020" w:hanging="360"/>
      </w:pPr>
    </w:lvl>
    <w:lvl w:ilvl="7" w:tplc="6DD29958">
      <w:start w:val="1"/>
      <w:numFmt w:val="lowerLetter"/>
      <w:lvlText w:val="%8)"/>
      <w:lvlJc w:val="left"/>
      <w:pPr>
        <w:ind w:left="1020" w:hanging="360"/>
      </w:pPr>
    </w:lvl>
    <w:lvl w:ilvl="8" w:tplc="63FC2558">
      <w:start w:val="1"/>
      <w:numFmt w:val="lowerLetter"/>
      <w:lvlText w:val="%9)"/>
      <w:lvlJc w:val="left"/>
      <w:pPr>
        <w:ind w:left="1020" w:hanging="360"/>
      </w:pPr>
    </w:lvl>
  </w:abstractNum>
  <w:abstractNum w:abstractNumId="7" w15:restartNumberingAfterBreak="0">
    <w:nsid w:val="067F5E9E"/>
    <w:multiLevelType w:val="hybridMultilevel"/>
    <w:tmpl w:val="49162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114CB7"/>
    <w:multiLevelType w:val="hybridMultilevel"/>
    <w:tmpl w:val="BF1A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21027E"/>
    <w:multiLevelType w:val="hybridMultilevel"/>
    <w:tmpl w:val="8DD24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4F6206"/>
    <w:multiLevelType w:val="hybridMultilevel"/>
    <w:tmpl w:val="A86A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E4890"/>
    <w:multiLevelType w:val="hybridMultilevel"/>
    <w:tmpl w:val="DF2AE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176714"/>
    <w:multiLevelType w:val="hybridMultilevel"/>
    <w:tmpl w:val="8528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91227"/>
    <w:multiLevelType w:val="hybridMultilevel"/>
    <w:tmpl w:val="FE10318E"/>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B44789"/>
    <w:multiLevelType w:val="hybridMultilevel"/>
    <w:tmpl w:val="FF4822F8"/>
    <w:lvl w:ilvl="0" w:tplc="6EEE28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9" w:hanging="360"/>
      </w:pPr>
      <w:rPr>
        <w:rFonts w:ascii="Courier New" w:hAnsi="Courier New" w:cs="Courier New" w:hint="default"/>
      </w:rPr>
    </w:lvl>
    <w:lvl w:ilvl="2" w:tplc="FFFFFFFF" w:tentative="1">
      <w:start w:val="1"/>
      <w:numFmt w:val="bullet"/>
      <w:lvlText w:val=""/>
      <w:lvlJc w:val="left"/>
      <w:pPr>
        <w:ind w:left="2169" w:hanging="360"/>
      </w:pPr>
      <w:rPr>
        <w:rFonts w:ascii="Wingdings" w:hAnsi="Wingdings" w:hint="default"/>
      </w:rPr>
    </w:lvl>
    <w:lvl w:ilvl="3" w:tplc="FFFFFFFF" w:tentative="1">
      <w:start w:val="1"/>
      <w:numFmt w:val="bullet"/>
      <w:lvlText w:val=""/>
      <w:lvlJc w:val="left"/>
      <w:pPr>
        <w:ind w:left="2889" w:hanging="360"/>
      </w:pPr>
      <w:rPr>
        <w:rFonts w:ascii="Symbol" w:hAnsi="Symbol" w:hint="default"/>
      </w:rPr>
    </w:lvl>
    <w:lvl w:ilvl="4" w:tplc="FFFFFFFF" w:tentative="1">
      <w:start w:val="1"/>
      <w:numFmt w:val="bullet"/>
      <w:lvlText w:val="o"/>
      <w:lvlJc w:val="left"/>
      <w:pPr>
        <w:ind w:left="3609" w:hanging="360"/>
      </w:pPr>
      <w:rPr>
        <w:rFonts w:ascii="Courier New" w:hAnsi="Courier New" w:cs="Courier New" w:hint="default"/>
      </w:rPr>
    </w:lvl>
    <w:lvl w:ilvl="5" w:tplc="FFFFFFFF" w:tentative="1">
      <w:start w:val="1"/>
      <w:numFmt w:val="bullet"/>
      <w:lvlText w:val=""/>
      <w:lvlJc w:val="left"/>
      <w:pPr>
        <w:ind w:left="4329" w:hanging="360"/>
      </w:pPr>
      <w:rPr>
        <w:rFonts w:ascii="Wingdings" w:hAnsi="Wingdings" w:hint="default"/>
      </w:rPr>
    </w:lvl>
    <w:lvl w:ilvl="6" w:tplc="FFFFFFFF" w:tentative="1">
      <w:start w:val="1"/>
      <w:numFmt w:val="bullet"/>
      <w:lvlText w:val=""/>
      <w:lvlJc w:val="left"/>
      <w:pPr>
        <w:ind w:left="5049" w:hanging="360"/>
      </w:pPr>
      <w:rPr>
        <w:rFonts w:ascii="Symbol" w:hAnsi="Symbol" w:hint="default"/>
      </w:rPr>
    </w:lvl>
    <w:lvl w:ilvl="7" w:tplc="FFFFFFFF" w:tentative="1">
      <w:start w:val="1"/>
      <w:numFmt w:val="bullet"/>
      <w:lvlText w:val="o"/>
      <w:lvlJc w:val="left"/>
      <w:pPr>
        <w:ind w:left="5769" w:hanging="360"/>
      </w:pPr>
      <w:rPr>
        <w:rFonts w:ascii="Courier New" w:hAnsi="Courier New" w:cs="Courier New" w:hint="default"/>
      </w:rPr>
    </w:lvl>
    <w:lvl w:ilvl="8" w:tplc="FFFFFFFF" w:tentative="1">
      <w:start w:val="1"/>
      <w:numFmt w:val="bullet"/>
      <w:lvlText w:val=""/>
      <w:lvlJc w:val="left"/>
      <w:pPr>
        <w:ind w:left="6489" w:hanging="360"/>
      </w:pPr>
      <w:rPr>
        <w:rFonts w:ascii="Wingdings" w:hAnsi="Wingdings" w:hint="default"/>
      </w:rPr>
    </w:lvl>
  </w:abstractNum>
  <w:abstractNum w:abstractNumId="15" w15:restartNumberingAfterBreak="0">
    <w:nsid w:val="17C769B2"/>
    <w:multiLevelType w:val="hybridMultilevel"/>
    <w:tmpl w:val="9B3E0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37442"/>
    <w:multiLevelType w:val="hybridMultilevel"/>
    <w:tmpl w:val="B75CF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4320C8"/>
    <w:multiLevelType w:val="hybridMultilevel"/>
    <w:tmpl w:val="83C6E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1A015B"/>
    <w:multiLevelType w:val="hybridMultilevel"/>
    <w:tmpl w:val="619E4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846D28"/>
    <w:multiLevelType w:val="hybridMultilevel"/>
    <w:tmpl w:val="E70EA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A76BF9"/>
    <w:multiLevelType w:val="hybridMultilevel"/>
    <w:tmpl w:val="00D2D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167208"/>
    <w:multiLevelType w:val="hybridMultilevel"/>
    <w:tmpl w:val="FDE4DA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7166E9"/>
    <w:multiLevelType w:val="hybridMultilevel"/>
    <w:tmpl w:val="77A2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1607FC"/>
    <w:multiLevelType w:val="hybridMultilevel"/>
    <w:tmpl w:val="E294E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FD0739"/>
    <w:multiLevelType w:val="hybridMultilevel"/>
    <w:tmpl w:val="71707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32079F"/>
    <w:multiLevelType w:val="hybridMultilevel"/>
    <w:tmpl w:val="ED4C3B3A"/>
    <w:lvl w:ilvl="0" w:tplc="380C838E">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961FF6"/>
    <w:multiLevelType w:val="hybridMultilevel"/>
    <w:tmpl w:val="C80045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FE531A5"/>
    <w:multiLevelType w:val="hybridMultilevel"/>
    <w:tmpl w:val="ABC4EBE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8" w15:restartNumberingAfterBreak="0">
    <w:nsid w:val="3022357A"/>
    <w:multiLevelType w:val="hybridMultilevel"/>
    <w:tmpl w:val="85F8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50580A"/>
    <w:multiLevelType w:val="hybridMultilevel"/>
    <w:tmpl w:val="714E1A94"/>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0" w15:restartNumberingAfterBreak="0">
    <w:nsid w:val="38C067FB"/>
    <w:multiLevelType w:val="hybridMultilevel"/>
    <w:tmpl w:val="1EAA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8348D6"/>
    <w:multiLevelType w:val="hybridMultilevel"/>
    <w:tmpl w:val="0A7A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0E0505"/>
    <w:multiLevelType w:val="hybridMultilevel"/>
    <w:tmpl w:val="017A1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1E31E8"/>
    <w:multiLevelType w:val="hybridMultilevel"/>
    <w:tmpl w:val="B5A04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8384405"/>
    <w:multiLevelType w:val="hybridMultilevel"/>
    <w:tmpl w:val="4EF6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576898"/>
    <w:multiLevelType w:val="hybridMultilevel"/>
    <w:tmpl w:val="CADC0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CC095B"/>
    <w:multiLevelType w:val="hybridMultilevel"/>
    <w:tmpl w:val="9B20A38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585097F"/>
    <w:multiLevelType w:val="hybridMultilevel"/>
    <w:tmpl w:val="F7E0007C"/>
    <w:lvl w:ilvl="0" w:tplc="FCB2BEF4">
      <w:start w:val="1"/>
      <w:numFmt w:val="lowerLetter"/>
      <w:lvlText w:val="%1)"/>
      <w:lvlJc w:val="left"/>
      <w:pPr>
        <w:ind w:left="1020" w:hanging="360"/>
      </w:pPr>
    </w:lvl>
    <w:lvl w:ilvl="1" w:tplc="4364D6D6">
      <w:start w:val="1"/>
      <w:numFmt w:val="lowerLetter"/>
      <w:lvlText w:val="%2)"/>
      <w:lvlJc w:val="left"/>
      <w:pPr>
        <w:ind w:left="1020" w:hanging="360"/>
      </w:pPr>
    </w:lvl>
    <w:lvl w:ilvl="2" w:tplc="4D3C8A82">
      <w:start w:val="1"/>
      <w:numFmt w:val="lowerLetter"/>
      <w:lvlText w:val="%3)"/>
      <w:lvlJc w:val="left"/>
      <w:pPr>
        <w:ind w:left="1020" w:hanging="360"/>
      </w:pPr>
    </w:lvl>
    <w:lvl w:ilvl="3" w:tplc="1578E5CC">
      <w:start w:val="1"/>
      <w:numFmt w:val="lowerLetter"/>
      <w:lvlText w:val="%4)"/>
      <w:lvlJc w:val="left"/>
      <w:pPr>
        <w:ind w:left="1020" w:hanging="360"/>
      </w:pPr>
    </w:lvl>
    <w:lvl w:ilvl="4" w:tplc="6EB8F1A4">
      <w:start w:val="1"/>
      <w:numFmt w:val="lowerLetter"/>
      <w:lvlText w:val="%5)"/>
      <w:lvlJc w:val="left"/>
      <w:pPr>
        <w:ind w:left="1020" w:hanging="360"/>
      </w:pPr>
    </w:lvl>
    <w:lvl w:ilvl="5" w:tplc="AF0AA04E">
      <w:start w:val="1"/>
      <w:numFmt w:val="lowerLetter"/>
      <w:lvlText w:val="%6)"/>
      <w:lvlJc w:val="left"/>
      <w:pPr>
        <w:ind w:left="1020" w:hanging="360"/>
      </w:pPr>
    </w:lvl>
    <w:lvl w:ilvl="6" w:tplc="40DA50A6">
      <w:start w:val="1"/>
      <w:numFmt w:val="lowerLetter"/>
      <w:lvlText w:val="%7)"/>
      <w:lvlJc w:val="left"/>
      <w:pPr>
        <w:ind w:left="1020" w:hanging="360"/>
      </w:pPr>
    </w:lvl>
    <w:lvl w:ilvl="7" w:tplc="6BE21CCE">
      <w:start w:val="1"/>
      <w:numFmt w:val="lowerLetter"/>
      <w:lvlText w:val="%8)"/>
      <w:lvlJc w:val="left"/>
      <w:pPr>
        <w:ind w:left="1020" w:hanging="360"/>
      </w:pPr>
    </w:lvl>
    <w:lvl w:ilvl="8" w:tplc="7C704BF0">
      <w:start w:val="1"/>
      <w:numFmt w:val="lowerLetter"/>
      <w:lvlText w:val="%9)"/>
      <w:lvlJc w:val="left"/>
      <w:pPr>
        <w:ind w:left="1020" w:hanging="360"/>
      </w:pPr>
    </w:lvl>
  </w:abstractNum>
  <w:abstractNum w:abstractNumId="38" w15:restartNumberingAfterBreak="0">
    <w:nsid w:val="55AE4B71"/>
    <w:multiLevelType w:val="hybridMultilevel"/>
    <w:tmpl w:val="CD28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70144B"/>
    <w:multiLevelType w:val="hybridMultilevel"/>
    <w:tmpl w:val="6BE0E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3500E0"/>
    <w:multiLevelType w:val="hybridMultilevel"/>
    <w:tmpl w:val="6136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391E3F"/>
    <w:multiLevelType w:val="hybridMultilevel"/>
    <w:tmpl w:val="4022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5632A5"/>
    <w:multiLevelType w:val="hybridMultilevel"/>
    <w:tmpl w:val="678C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963150"/>
    <w:multiLevelType w:val="hybridMultilevel"/>
    <w:tmpl w:val="1876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9D0E85"/>
    <w:multiLevelType w:val="hybridMultilevel"/>
    <w:tmpl w:val="6FDA9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29E10FA"/>
    <w:multiLevelType w:val="hybridMultilevel"/>
    <w:tmpl w:val="E736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34E6E34"/>
    <w:multiLevelType w:val="hybridMultilevel"/>
    <w:tmpl w:val="1AB4C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B9080B"/>
    <w:multiLevelType w:val="hybridMultilevel"/>
    <w:tmpl w:val="7F72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E9669E"/>
    <w:multiLevelType w:val="hybridMultilevel"/>
    <w:tmpl w:val="4440E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730640D"/>
    <w:multiLevelType w:val="hybridMultilevel"/>
    <w:tmpl w:val="39A4B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B12DCC"/>
    <w:multiLevelType w:val="hybridMultilevel"/>
    <w:tmpl w:val="5052E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B1A1932"/>
    <w:multiLevelType w:val="hybridMultilevel"/>
    <w:tmpl w:val="98FC9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F052F4"/>
    <w:multiLevelType w:val="hybridMultilevel"/>
    <w:tmpl w:val="618C8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FF1651"/>
    <w:multiLevelType w:val="hybridMultilevel"/>
    <w:tmpl w:val="93B2B2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21D029A"/>
    <w:multiLevelType w:val="hybridMultilevel"/>
    <w:tmpl w:val="078002F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5" w15:restartNumberingAfterBreak="0">
    <w:nsid w:val="72B84184"/>
    <w:multiLevelType w:val="hybridMultilevel"/>
    <w:tmpl w:val="64462E1A"/>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56" w15:restartNumberingAfterBreak="0">
    <w:nsid w:val="7322421B"/>
    <w:multiLevelType w:val="hybridMultilevel"/>
    <w:tmpl w:val="EDDEE1CE"/>
    <w:lvl w:ilvl="0" w:tplc="6CA8FC3A">
      <w:numFmt w:val="bullet"/>
      <w:lvlText w:val=""/>
      <w:lvlJc w:val="left"/>
      <w:pPr>
        <w:ind w:left="720" w:hanging="360"/>
      </w:pPr>
      <w:rPr>
        <w:rFonts w:ascii="Symbol" w:eastAsia="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36772"/>
    <w:multiLevelType w:val="hybridMultilevel"/>
    <w:tmpl w:val="93DE3046"/>
    <w:lvl w:ilvl="0" w:tplc="A8E6300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BAA7F52"/>
    <w:multiLevelType w:val="hybridMultilevel"/>
    <w:tmpl w:val="9124B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0102843">
    <w:abstractNumId w:val="33"/>
  </w:num>
  <w:num w:numId="2" w16cid:durableId="1804040588">
    <w:abstractNumId w:val="28"/>
  </w:num>
  <w:num w:numId="3" w16cid:durableId="1971394739">
    <w:abstractNumId w:val="31"/>
  </w:num>
  <w:num w:numId="4" w16cid:durableId="1817604700">
    <w:abstractNumId w:val="57"/>
  </w:num>
  <w:num w:numId="5" w16cid:durableId="503908753">
    <w:abstractNumId w:val="24"/>
  </w:num>
  <w:num w:numId="6" w16cid:durableId="1232154499">
    <w:abstractNumId w:val="0"/>
  </w:num>
  <w:num w:numId="7" w16cid:durableId="1822186930">
    <w:abstractNumId w:val="26"/>
  </w:num>
  <w:num w:numId="8" w16cid:durableId="1276982929">
    <w:abstractNumId w:val="21"/>
  </w:num>
  <w:num w:numId="9" w16cid:durableId="1019084939">
    <w:abstractNumId w:val="4"/>
  </w:num>
  <w:num w:numId="10" w16cid:durableId="1801220382">
    <w:abstractNumId w:val="46"/>
  </w:num>
  <w:num w:numId="11" w16cid:durableId="1813209870">
    <w:abstractNumId w:val="42"/>
  </w:num>
  <w:num w:numId="12" w16cid:durableId="97531482">
    <w:abstractNumId w:val="38"/>
  </w:num>
  <w:num w:numId="13" w16cid:durableId="792020002">
    <w:abstractNumId w:val="16"/>
  </w:num>
  <w:num w:numId="14" w16cid:durableId="190345753">
    <w:abstractNumId w:val="10"/>
  </w:num>
  <w:num w:numId="15" w16cid:durableId="1650010747">
    <w:abstractNumId w:val="55"/>
  </w:num>
  <w:num w:numId="16" w16cid:durableId="2118325091">
    <w:abstractNumId w:val="52"/>
  </w:num>
  <w:num w:numId="17" w16cid:durableId="290013950">
    <w:abstractNumId w:val="40"/>
  </w:num>
  <w:num w:numId="18" w16cid:durableId="747189666">
    <w:abstractNumId w:val="34"/>
  </w:num>
  <w:num w:numId="19" w16cid:durableId="2017269607">
    <w:abstractNumId w:val="3"/>
  </w:num>
  <w:num w:numId="20" w16cid:durableId="79565750">
    <w:abstractNumId w:val="48"/>
  </w:num>
  <w:num w:numId="21" w16cid:durableId="249777701">
    <w:abstractNumId w:val="18"/>
  </w:num>
  <w:num w:numId="22" w16cid:durableId="163059856">
    <w:abstractNumId w:val="58"/>
  </w:num>
  <w:num w:numId="23" w16cid:durableId="1796479619">
    <w:abstractNumId w:val="39"/>
  </w:num>
  <w:num w:numId="24" w16cid:durableId="1028288309">
    <w:abstractNumId w:val="12"/>
  </w:num>
  <w:num w:numId="25" w16cid:durableId="12538870">
    <w:abstractNumId w:val="13"/>
  </w:num>
  <w:num w:numId="26" w16cid:durableId="495191810">
    <w:abstractNumId w:val="1"/>
  </w:num>
  <w:num w:numId="27" w16cid:durableId="34238973">
    <w:abstractNumId w:val="35"/>
  </w:num>
  <w:num w:numId="28" w16cid:durableId="1757240405">
    <w:abstractNumId w:val="44"/>
  </w:num>
  <w:num w:numId="29" w16cid:durableId="1097288784">
    <w:abstractNumId w:val="50"/>
  </w:num>
  <w:num w:numId="30" w16cid:durableId="5058854">
    <w:abstractNumId w:val="32"/>
  </w:num>
  <w:num w:numId="31" w16cid:durableId="987250210">
    <w:abstractNumId w:val="54"/>
  </w:num>
  <w:num w:numId="32" w16cid:durableId="655762615">
    <w:abstractNumId w:val="27"/>
  </w:num>
  <w:num w:numId="33" w16cid:durableId="187448428">
    <w:abstractNumId w:val="36"/>
  </w:num>
  <w:num w:numId="34" w16cid:durableId="1547719371">
    <w:abstractNumId w:val="51"/>
  </w:num>
  <w:num w:numId="35" w16cid:durableId="1648316517">
    <w:abstractNumId w:val="8"/>
  </w:num>
  <w:num w:numId="36" w16cid:durableId="2099207312">
    <w:abstractNumId w:val="43"/>
  </w:num>
  <w:num w:numId="37" w16cid:durableId="78799194">
    <w:abstractNumId w:val="2"/>
  </w:num>
  <w:num w:numId="38" w16cid:durableId="1313219790">
    <w:abstractNumId w:val="20"/>
  </w:num>
  <w:num w:numId="39" w16cid:durableId="592973124">
    <w:abstractNumId w:val="11"/>
  </w:num>
  <w:num w:numId="40" w16cid:durableId="1439712460">
    <w:abstractNumId w:val="15"/>
  </w:num>
  <w:num w:numId="41" w16cid:durableId="412507256">
    <w:abstractNumId w:val="23"/>
  </w:num>
  <w:num w:numId="42" w16cid:durableId="1684935052">
    <w:abstractNumId w:val="49"/>
  </w:num>
  <w:num w:numId="43" w16cid:durableId="553542813">
    <w:abstractNumId w:val="22"/>
  </w:num>
  <w:num w:numId="44" w16cid:durableId="614294836">
    <w:abstractNumId w:val="41"/>
  </w:num>
  <w:num w:numId="45" w16cid:durableId="1331370028">
    <w:abstractNumId w:val="9"/>
  </w:num>
  <w:num w:numId="46" w16cid:durableId="126437657">
    <w:abstractNumId w:val="17"/>
  </w:num>
  <w:num w:numId="47" w16cid:durableId="707217699">
    <w:abstractNumId w:val="7"/>
  </w:num>
  <w:num w:numId="48" w16cid:durableId="387149414">
    <w:abstractNumId w:val="19"/>
  </w:num>
  <w:num w:numId="49" w16cid:durableId="1935281900">
    <w:abstractNumId w:val="29"/>
  </w:num>
  <w:num w:numId="50" w16cid:durableId="1127696491">
    <w:abstractNumId w:val="5"/>
  </w:num>
  <w:num w:numId="51" w16cid:durableId="2034071477">
    <w:abstractNumId w:val="25"/>
  </w:num>
  <w:num w:numId="52" w16cid:durableId="543907804">
    <w:abstractNumId w:val="56"/>
  </w:num>
  <w:num w:numId="53" w16cid:durableId="1226796687">
    <w:abstractNumId w:val="30"/>
  </w:num>
  <w:num w:numId="54" w16cid:durableId="402916835">
    <w:abstractNumId w:val="14"/>
  </w:num>
  <w:num w:numId="55" w16cid:durableId="1611082304">
    <w:abstractNumId w:val="37"/>
  </w:num>
  <w:num w:numId="56" w16cid:durableId="1988390225">
    <w:abstractNumId w:val="6"/>
  </w:num>
  <w:num w:numId="57" w16cid:durableId="1171137690">
    <w:abstractNumId w:val="45"/>
  </w:num>
  <w:num w:numId="58" w16cid:durableId="2084790507">
    <w:abstractNumId w:val="47"/>
  </w:num>
  <w:num w:numId="59" w16cid:durableId="436295957">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5E"/>
    <w:rsid w:val="000007BF"/>
    <w:rsid w:val="00000E68"/>
    <w:rsid w:val="00002F6B"/>
    <w:rsid w:val="00005A87"/>
    <w:rsid w:val="00006040"/>
    <w:rsid w:val="000065C1"/>
    <w:rsid w:val="00006B32"/>
    <w:rsid w:val="0000712B"/>
    <w:rsid w:val="000106BF"/>
    <w:rsid w:val="0001135E"/>
    <w:rsid w:val="0001170B"/>
    <w:rsid w:val="0001239F"/>
    <w:rsid w:val="0001285F"/>
    <w:rsid w:val="0001295F"/>
    <w:rsid w:val="0001313D"/>
    <w:rsid w:val="000135D6"/>
    <w:rsid w:val="0001475B"/>
    <w:rsid w:val="00014C79"/>
    <w:rsid w:val="000150BC"/>
    <w:rsid w:val="00015899"/>
    <w:rsid w:val="0001638C"/>
    <w:rsid w:val="000165BC"/>
    <w:rsid w:val="00016629"/>
    <w:rsid w:val="000225A2"/>
    <w:rsid w:val="00023B6D"/>
    <w:rsid w:val="00023F3C"/>
    <w:rsid w:val="000240D8"/>
    <w:rsid w:val="00024841"/>
    <w:rsid w:val="00030A20"/>
    <w:rsid w:val="00031816"/>
    <w:rsid w:val="00032505"/>
    <w:rsid w:val="00032F19"/>
    <w:rsid w:val="0003329C"/>
    <w:rsid w:val="000335A5"/>
    <w:rsid w:val="000336B5"/>
    <w:rsid w:val="00035782"/>
    <w:rsid w:val="00035B2C"/>
    <w:rsid w:val="000400E4"/>
    <w:rsid w:val="00040B07"/>
    <w:rsid w:val="00040B85"/>
    <w:rsid w:val="000423AA"/>
    <w:rsid w:val="0004304D"/>
    <w:rsid w:val="000448F2"/>
    <w:rsid w:val="0004627D"/>
    <w:rsid w:val="000467F2"/>
    <w:rsid w:val="000470A8"/>
    <w:rsid w:val="00047220"/>
    <w:rsid w:val="000508FF"/>
    <w:rsid w:val="000509CA"/>
    <w:rsid w:val="00050C89"/>
    <w:rsid w:val="00051123"/>
    <w:rsid w:val="00051574"/>
    <w:rsid w:val="00051B81"/>
    <w:rsid w:val="00052562"/>
    <w:rsid w:val="00052800"/>
    <w:rsid w:val="00052D0D"/>
    <w:rsid w:val="00052FC5"/>
    <w:rsid w:val="00053068"/>
    <w:rsid w:val="00053657"/>
    <w:rsid w:val="00054FAE"/>
    <w:rsid w:val="00055C7F"/>
    <w:rsid w:val="0005646E"/>
    <w:rsid w:val="00056C4A"/>
    <w:rsid w:val="000578F1"/>
    <w:rsid w:val="00057F9E"/>
    <w:rsid w:val="00060103"/>
    <w:rsid w:val="00060A90"/>
    <w:rsid w:val="000613D5"/>
    <w:rsid w:val="00061911"/>
    <w:rsid w:val="00061E0F"/>
    <w:rsid w:val="00062446"/>
    <w:rsid w:val="00062448"/>
    <w:rsid w:val="00062BEC"/>
    <w:rsid w:val="00063239"/>
    <w:rsid w:val="00063414"/>
    <w:rsid w:val="00063473"/>
    <w:rsid w:val="000639C9"/>
    <w:rsid w:val="000647F2"/>
    <w:rsid w:val="00064DC1"/>
    <w:rsid w:val="00065541"/>
    <w:rsid w:val="00065AD2"/>
    <w:rsid w:val="00065ECD"/>
    <w:rsid w:val="000668A8"/>
    <w:rsid w:val="0006743C"/>
    <w:rsid w:val="00070364"/>
    <w:rsid w:val="000709E6"/>
    <w:rsid w:val="00070D70"/>
    <w:rsid w:val="000716AE"/>
    <w:rsid w:val="000719F9"/>
    <w:rsid w:val="000724CC"/>
    <w:rsid w:val="0007260F"/>
    <w:rsid w:val="00072750"/>
    <w:rsid w:val="00072D82"/>
    <w:rsid w:val="00073B7F"/>
    <w:rsid w:val="00074D48"/>
    <w:rsid w:val="00074E79"/>
    <w:rsid w:val="000765A1"/>
    <w:rsid w:val="0007662E"/>
    <w:rsid w:val="000776CC"/>
    <w:rsid w:val="000830A3"/>
    <w:rsid w:val="0008318F"/>
    <w:rsid w:val="00083C04"/>
    <w:rsid w:val="000845A5"/>
    <w:rsid w:val="00084FE3"/>
    <w:rsid w:val="0008536F"/>
    <w:rsid w:val="0008538D"/>
    <w:rsid w:val="000853AB"/>
    <w:rsid w:val="000855B1"/>
    <w:rsid w:val="00085BB2"/>
    <w:rsid w:val="000861F8"/>
    <w:rsid w:val="00086742"/>
    <w:rsid w:val="00086D65"/>
    <w:rsid w:val="000871B9"/>
    <w:rsid w:val="0008744F"/>
    <w:rsid w:val="00090941"/>
    <w:rsid w:val="00090F36"/>
    <w:rsid w:val="00091075"/>
    <w:rsid w:val="00092DD3"/>
    <w:rsid w:val="000930FB"/>
    <w:rsid w:val="00093702"/>
    <w:rsid w:val="000949D2"/>
    <w:rsid w:val="00094B0A"/>
    <w:rsid w:val="00095545"/>
    <w:rsid w:val="00096976"/>
    <w:rsid w:val="000969A2"/>
    <w:rsid w:val="00096B5A"/>
    <w:rsid w:val="00097093"/>
    <w:rsid w:val="000974EC"/>
    <w:rsid w:val="00097E1B"/>
    <w:rsid w:val="000A044F"/>
    <w:rsid w:val="000A22B4"/>
    <w:rsid w:val="000A23C6"/>
    <w:rsid w:val="000A24D4"/>
    <w:rsid w:val="000A2A8B"/>
    <w:rsid w:val="000A3702"/>
    <w:rsid w:val="000A38BB"/>
    <w:rsid w:val="000A3C31"/>
    <w:rsid w:val="000A3F14"/>
    <w:rsid w:val="000A4E8A"/>
    <w:rsid w:val="000A5706"/>
    <w:rsid w:val="000B05C4"/>
    <w:rsid w:val="000B0615"/>
    <w:rsid w:val="000B0B44"/>
    <w:rsid w:val="000B1BB5"/>
    <w:rsid w:val="000B20EB"/>
    <w:rsid w:val="000B22A2"/>
    <w:rsid w:val="000B3808"/>
    <w:rsid w:val="000B38F5"/>
    <w:rsid w:val="000B4533"/>
    <w:rsid w:val="000B486D"/>
    <w:rsid w:val="000B4A3C"/>
    <w:rsid w:val="000C022A"/>
    <w:rsid w:val="000C07AA"/>
    <w:rsid w:val="000C089A"/>
    <w:rsid w:val="000C0CF4"/>
    <w:rsid w:val="000C1233"/>
    <w:rsid w:val="000C236D"/>
    <w:rsid w:val="000C26ED"/>
    <w:rsid w:val="000C2ABE"/>
    <w:rsid w:val="000C2BE9"/>
    <w:rsid w:val="000C2F77"/>
    <w:rsid w:val="000C342B"/>
    <w:rsid w:val="000C4C1F"/>
    <w:rsid w:val="000C5747"/>
    <w:rsid w:val="000C6556"/>
    <w:rsid w:val="000C70FE"/>
    <w:rsid w:val="000C7493"/>
    <w:rsid w:val="000D028F"/>
    <w:rsid w:val="000D2CBA"/>
    <w:rsid w:val="000D33EA"/>
    <w:rsid w:val="000D39FA"/>
    <w:rsid w:val="000D4917"/>
    <w:rsid w:val="000D5141"/>
    <w:rsid w:val="000D519F"/>
    <w:rsid w:val="000D7760"/>
    <w:rsid w:val="000D7E78"/>
    <w:rsid w:val="000E03F8"/>
    <w:rsid w:val="000E0757"/>
    <w:rsid w:val="000E1AA6"/>
    <w:rsid w:val="000E1CF5"/>
    <w:rsid w:val="000E2A69"/>
    <w:rsid w:val="000E3922"/>
    <w:rsid w:val="000E3A8D"/>
    <w:rsid w:val="000E3FFF"/>
    <w:rsid w:val="000E57CD"/>
    <w:rsid w:val="000E5C82"/>
    <w:rsid w:val="000E6E3C"/>
    <w:rsid w:val="000E73FC"/>
    <w:rsid w:val="000F062A"/>
    <w:rsid w:val="000F0F51"/>
    <w:rsid w:val="000F1898"/>
    <w:rsid w:val="000F1977"/>
    <w:rsid w:val="000F1A7F"/>
    <w:rsid w:val="000F1C6E"/>
    <w:rsid w:val="000F1D97"/>
    <w:rsid w:val="000F1DE2"/>
    <w:rsid w:val="000F26E2"/>
    <w:rsid w:val="000F2F6D"/>
    <w:rsid w:val="000F4608"/>
    <w:rsid w:val="000F5CE5"/>
    <w:rsid w:val="000F7595"/>
    <w:rsid w:val="000F7714"/>
    <w:rsid w:val="0010060F"/>
    <w:rsid w:val="001007BB"/>
    <w:rsid w:val="00100FD3"/>
    <w:rsid w:val="00101439"/>
    <w:rsid w:val="00103314"/>
    <w:rsid w:val="00103B14"/>
    <w:rsid w:val="00103FEC"/>
    <w:rsid w:val="001046CE"/>
    <w:rsid w:val="00105E5D"/>
    <w:rsid w:val="00106374"/>
    <w:rsid w:val="00110AE4"/>
    <w:rsid w:val="001122F8"/>
    <w:rsid w:val="00112CF6"/>
    <w:rsid w:val="00114540"/>
    <w:rsid w:val="00114C5C"/>
    <w:rsid w:val="001155C5"/>
    <w:rsid w:val="00115D16"/>
    <w:rsid w:val="00120882"/>
    <w:rsid w:val="0012118D"/>
    <w:rsid w:val="001218A2"/>
    <w:rsid w:val="00121C09"/>
    <w:rsid w:val="00121EA9"/>
    <w:rsid w:val="00122250"/>
    <w:rsid w:val="00122F5D"/>
    <w:rsid w:val="00123289"/>
    <w:rsid w:val="00123762"/>
    <w:rsid w:val="001238AF"/>
    <w:rsid w:val="001239A2"/>
    <w:rsid w:val="00123FFC"/>
    <w:rsid w:val="0012429A"/>
    <w:rsid w:val="00124F33"/>
    <w:rsid w:val="00126E4D"/>
    <w:rsid w:val="00126E75"/>
    <w:rsid w:val="00127D6D"/>
    <w:rsid w:val="00127D97"/>
    <w:rsid w:val="001301F6"/>
    <w:rsid w:val="0013059B"/>
    <w:rsid w:val="001306D6"/>
    <w:rsid w:val="0013078F"/>
    <w:rsid w:val="00132870"/>
    <w:rsid w:val="00132873"/>
    <w:rsid w:val="00133325"/>
    <w:rsid w:val="001336D4"/>
    <w:rsid w:val="00133881"/>
    <w:rsid w:val="00133A62"/>
    <w:rsid w:val="00134B6C"/>
    <w:rsid w:val="00134C95"/>
    <w:rsid w:val="00134CE0"/>
    <w:rsid w:val="00134E79"/>
    <w:rsid w:val="00135759"/>
    <w:rsid w:val="0013750A"/>
    <w:rsid w:val="00140435"/>
    <w:rsid w:val="00141455"/>
    <w:rsid w:val="0014215C"/>
    <w:rsid w:val="0014302B"/>
    <w:rsid w:val="001442AD"/>
    <w:rsid w:val="001445A2"/>
    <w:rsid w:val="00145A4C"/>
    <w:rsid w:val="00146B5E"/>
    <w:rsid w:val="00146C60"/>
    <w:rsid w:val="00147606"/>
    <w:rsid w:val="001501DB"/>
    <w:rsid w:val="00151A5F"/>
    <w:rsid w:val="001520A3"/>
    <w:rsid w:val="00152617"/>
    <w:rsid w:val="00152E6F"/>
    <w:rsid w:val="001536EC"/>
    <w:rsid w:val="0015378D"/>
    <w:rsid w:val="0015378F"/>
    <w:rsid w:val="00154155"/>
    <w:rsid w:val="001546CB"/>
    <w:rsid w:val="00155957"/>
    <w:rsid w:val="00156358"/>
    <w:rsid w:val="0015717B"/>
    <w:rsid w:val="00163672"/>
    <w:rsid w:val="00163D61"/>
    <w:rsid w:val="00164131"/>
    <w:rsid w:val="00164CB6"/>
    <w:rsid w:val="00165290"/>
    <w:rsid w:val="0016543C"/>
    <w:rsid w:val="00165806"/>
    <w:rsid w:val="001662F6"/>
    <w:rsid w:val="00166A35"/>
    <w:rsid w:val="00167377"/>
    <w:rsid w:val="00167A50"/>
    <w:rsid w:val="00170B08"/>
    <w:rsid w:val="001712D1"/>
    <w:rsid w:val="00172025"/>
    <w:rsid w:val="00172EF3"/>
    <w:rsid w:val="001738A6"/>
    <w:rsid w:val="00173B73"/>
    <w:rsid w:val="00174F50"/>
    <w:rsid w:val="00175230"/>
    <w:rsid w:val="00175CF6"/>
    <w:rsid w:val="00175E98"/>
    <w:rsid w:val="00175EA3"/>
    <w:rsid w:val="00180D73"/>
    <w:rsid w:val="00180F04"/>
    <w:rsid w:val="0018107C"/>
    <w:rsid w:val="0018179B"/>
    <w:rsid w:val="00181CC1"/>
    <w:rsid w:val="00181E47"/>
    <w:rsid w:val="0018294B"/>
    <w:rsid w:val="0018348F"/>
    <w:rsid w:val="00183ACB"/>
    <w:rsid w:val="00183D47"/>
    <w:rsid w:val="00184700"/>
    <w:rsid w:val="0018538D"/>
    <w:rsid w:val="00185664"/>
    <w:rsid w:val="00185BDF"/>
    <w:rsid w:val="00186997"/>
    <w:rsid w:val="00187535"/>
    <w:rsid w:val="00187947"/>
    <w:rsid w:val="001901D0"/>
    <w:rsid w:val="0019036A"/>
    <w:rsid w:val="00190EBB"/>
    <w:rsid w:val="001933C5"/>
    <w:rsid w:val="00193D76"/>
    <w:rsid w:val="00193DA4"/>
    <w:rsid w:val="00195B7E"/>
    <w:rsid w:val="00195C46"/>
    <w:rsid w:val="00197ABE"/>
    <w:rsid w:val="001A075C"/>
    <w:rsid w:val="001A178F"/>
    <w:rsid w:val="001A2E44"/>
    <w:rsid w:val="001A3760"/>
    <w:rsid w:val="001A3BC3"/>
    <w:rsid w:val="001A3BDC"/>
    <w:rsid w:val="001A52C3"/>
    <w:rsid w:val="001A5E22"/>
    <w:rsid w:val="001A6E90"/>
    <w:rsid w:val="001A7746"/>
    <w:rsid w:val="001A7B59"/>
    <w:rsid w:val="001A7B8A"/>
    <w:rsid w:val="001B02B1"/>
    <w:rsid w:val="001B14B9"/>
    <w:rsid w:val="001B2818"/>
    <w:rsid w:val="001B28E5"/>
    <w:rsid w:val="001B3452"/>
    <w:rsid w:val="001B366D"/>
    <w:rsid w:val="001B42F5"/>
    <w:rsid w:val="001B490E"/>
    <w:rsid w:val="001B5A7D"/>
    <w:rsid w:val="001B5C49"/>
    <w:rsid w:val="001B6787"/>
    <w:rsid w:val="001B76E7"/>
    <w:rsid w:val="001B78EF"/>
    <w:rsid w:val="001C0481"/>
    <w:rsid w:val="001C0DC8"/>
    <w:rsid w:val="001C2771"/>
    <w:rsid w:val="001C3706"/>
    <w:rsid w:val="001C4813"/>
    <w:rsid w:val="001C4FC9"/>
    <w:rsid w:val="001C50BA"/>
    <w:rsid w:val="001C728A"/>
    <w:rsid w:val="001C7374"/>
    <w:rsid w:val="001D1522"/>
    <w:rsid w:val="001D17C1"/>
    <w:rsid w:val="001D39B0"/>
    <w:rsid w:val="001D3E4E"/>
    <w:rsid w:val="001D4193"/>
    <w:rsid w:val="001D5001"/>
    <w:rsid w:val="001D50E5"/>
    <w:rsid w:val="001D5A20"/>
    <w:rsid w:val="001D6283"/>
    <w:rsid w:val="001D66AF"/>
    <w:rsid w:val="001D70AF"/>
    <w:rsid w:val="001D71C3"/>
    <w:rsid w:val="001D78C2"/>
    <w:rsid w:val="001D7981"/>
    <w:rsid w:val="001D7B03"/>
    <w:rsid w:val="001E0C2C"/>
    <w:rsid w:val="001E2732"/>
    <w:rsid w:val="001E555C"/>
    <w:rsid w:val="001E634B"/>
    <w:rsid w:val="001F05A4"/>
    <w:rsid w:val="001F0BB6"/>
    <w:rsid w:val="001F2040"/>
    <w:rsid w:val="001F2F5B"/>
    <w:rsid w:val="001F2F73"/>
    <w:rsid w:val="001F3492"/>
    <w:rsid w:val="001F3BEE"/>
    <w:rsid w:val="001F458A"/>
    <w:rsid w:val="001F5479"/>
    <w:rsid w:val="001F5EBD"/>
    <w:rsid w:val="001F7021"/>
    <w:rsid w:val="001F7E9C"/>
    <w:rsid w:val="00200BB8"/>
    <w:rsid w:val="00201F52"/>
    <w:rsid w:val="00202199"/>
    <w:rsid w:val="0020286B"/>
    <w:rsid w:val="002032F3"/>
    <w:rsid w:val="002037E5"/>
    <w:rsid w:val="00204718"/>
    <w:rsid w:val="002049C8"/>
    <w:rsid w:val="00207E4E"/>
    <w:rsid w:val="002103E7"/>
    <w:rsid w:val="002105DD"/>
    <w:rsid w:val="00210C6A"/>
    <w:rsid w:val="00211AC2"/>
    <w:rsid w:val="00212ABC"/>
    <w:rsid w:val="0021302E"/>
    <w:rsid w:val="00214EB9"/>
    <w:rsid w:val="00215D7C"/>
    <w:rsid w:val="00216A3A"/>
    <w:rsid w:val="0022002D"/>
    <w:rsid w:val="00220238"/>
    <w:rsid w:val="002250FB"/>
    <w:rsid w:val="00225652"/>
    <w:rsid w:val="00226D29"/>
    <w:rsid w:val="00227C7A"/>
    <w:rsid w:val="00230120"/>
    <w:rsid w:val="002301A5"/>
    <w:rsid w:val="0023034C"/>
    <w:rsid w:val="00230729"/>
    <w:rsid w:val="00230DFD"/>
    <w:rsid w:val="002316E4"/>
    <w:rsid w:val="00231776"/>
    <w:rsid w:val="002327B7"/>
    <w:rsid w:val="00233C1E"/>
    <w:rsid w:val="00234DE5"/>
    <w:rsid w:val="00237994"/>
    <w:rsid w:val="00237AC5"/>
    <w:rsid w:val="00241C57"/>
    <w:rsid w:val="00242CD6"/>
    <w:rsid w:val="002437CB"/>
    <w:rsid w:val="0024466C"/>
    <w:rsid w:val="002449A8"/>
    <w:rsid w:val="00244B57"/>
    <w:rsid w:val="00244BA3"/>
    <w:rsid w:val="002465A9"/>
    <w:rsid w:val="00246DFC"/>
    <w:rsid w:val="00250D10"/>
    <w:rsid w:val="00251B4B"/>
    <w:rsid w:val="0025249D"/>
    <w:rsid w:val="00253724"/>
    <w:rsid w:val="002538CF"/>
    <w:rsid w:val="00253959"/>
    <w:rsid w:val="002542DE"/>
    <w:rsid w:val="00254440"/>
    <w:rsid w:val="00254487"/>
    <w:rsid w:val="0025493D"/>
    <w:rsid w:val="0025726F"/>
    <w:rsid w:val="00257D88"/>
    <w:rsid w:val="00260F3E"/>
    <w:rsid w:val="00263592"/>
    <w:rsid w:val="00263B06"/>
    <w:rsid w:val="0026469E"/>
    <w:rsid w:val="002650E3"/>
    <w:rsid w:val="00265706"/>
    <w:rsid w:val="00266CEC"/>
    <w:rsid w:val="00271025"/>
    <w:rsid w:val="0027156C"/>
    <w:rsid w:val="00271768"/>
    <w:rsid w:val="00272676"/>
    <w:rsid w:val="00273C75"/>
    <w:rsid w:val="00273DC6"/>
    <w:rsid w:val="00273E48"/>
    <w:rsid w:val="00273F04"/>
    <w:rsid w:val="0027477B"/>
    <w:rsid w:val="0027483A"/>
    <w:rsid w:val="002753DD"/>
    <w:rsid w:val="00275E73"/>
    <w:rsid w:val="002761AB"/>
    <w:rsid w:val="00277274"/>
    <w:rsid w:val="00280D5E"/>
    <w:rsid w:val="00281B8C"/>
    <w:rsid w:val="00282BEA"/>
    <w:rsid w:val="00284014"/>
    <w:rsid w:val="002849DE"/>
    <w:rsid w:val="00285DE1"/>
    <w:rsid w:val="00286072"/>
    <w:rsid w:val="002861DC"/>
    <w:rsid w:val="00286E5B"/>
    <w:rsid w:val="00286F56"/>
    <w:rsid w:val="0028712F"/>
    <w:rsid w:val="002875A6"/>
    <w:rsid w:val="00287608"/>
    <w:rsid w:val="0029028D"/>
    <w:rsid w:val="0029161F"/>
    <w:rsid w:val="00291B8D"/>
    <w:rsid w:val="00291E3E"/>
    <w:rsid w:val="00291E72"/>
    <w:rsid w:val="00292534"/>
    <w:rsid w:val="002925D5"/>
    <w:rsid w:val="002937B8"/>
    <w:rsid w:val="0029574F"/>
    <w:rsid w:val="00295B68"/>
    <w:rsid w:val="00296509"/>
    <w:rsid w:val="002A0D5E"/>
    <w:rsid w:val="002A0F5E"/>
    <w:rsid w:val="002A17E0"/>
    <w:rsid w:val="002A5335"/>
    <w:rsid w:val="002A5DDE"/>
    <w:rsid w:val="002A6260"/>
    <w:rsid w:val="002A66DC"/>
    <w:rsid w:val="002A6CDB"/>
    <w:rsid w:val="002A761F"/>
    <w:rsid w:val="002A7D6D"/>
    <w:rsid w:val="002B0E06"/>
    <w:rsid w:val="002B0F16"/>
    <w:rsid w:val="002B216B"/>
    <w:rsid w:val="002B283E"/>
    <w:rsid w:val="002B2EF8"/>
    <w:rsid w:val="002B3AF7"/>
    <w:rsid w:val="002B3C05"/>
    <w:rsid w:val="002B4816"/>
    <w:rsid w:val="002B4CBF"/>
    <w:rsid w:val="002B5105"/>
    <w:rsid w:val="002B52F7"/>
    <w:rsid w:val="002B591B"/>
    <w:rsid w:val="002B67EA"/>
    <w:rsid w:val="002B69FC"/>
    <w:rsid w:val="002B73F3"/>
    <w:rsid w:val="002C0DAA"/>
    <w:rsid w:val="002C1977"/>
    <w:rsid w:val="002C2EC0"/>
    <w:rsid w:val="002C48B5"/>
    <w:rsid w:val="002C4B1B"/>
    <w:rsid w:val="002C4B93"/>
    <w:rsid w:val="002C5665"/>
    <w:rsid w:val="002C5B5C"/>
    <w:rsid w:val="002C654D"/>
    <w:rsid w:val="002C6A89"/>
    <w:rsid w:val="002C794C"/>
    <w:rsid w:val="002D2A93"/>
    <w:rsid w:val="002D2C4A"/>
    <w:rsid w:val="002D36F7"/>
    <w:rsid w:val="002D3D59"/>
    <w:rsid w:val="002D43F9"/>
    <w:rsid w:val="002D53F1"/>
    <w:rsid w:val="002D5743"/>
    <w:rsid w:val="002D7199"/>
    <w:rsid w:val="002D73CF"/>
    <w:rsid w:val="002D7CC2"/>
    <w:rsid w:val="002D7F1A"/>
    <w:rsid w:val="002E02C7"/>
    <w:rsid w:val="002E06CA"/>
    <w:rsid w:val="002E0D55"/>
    <w:rsid w:val="002E15C2"/>
    <w:rsid w:val="002E1A37"/>
    <w:rsid w:val="002E1A53"/>
    <w:rsid w:val="002E20D0"/>
    <w:rsid w:val="002E226C"/>
    <w:rsid w:val="002E2D9D"/>
    <w:rsid w:val="002E3523"/>
    <w:rsid w:val="002E39B8"/>
    <w:rsid w:val="002E3A47"/>
    <w:rsid w:val="002E495F"/>
    <w:rsid w:val="002E55C4"/>
    <w:rsid w:val="002E5A46"/>
    <w:rsid w:val="002E5F0D"/>
    <w:rsid w:val="002E636F"/>
    <w:rsid w:val="002E6C89"/>
    <w:rsid w:val="002F0148"/>
    <w:rsid w:val="002F0471"/>
    <w:rsid w:val="002F064F"/>
    <w:rsid w:val="002F065E"/>
    <w:rsid w:val="002F18E6"/>
    <w:rsid w:val="002F1D3C"/>
    <w:rsid w:val="002F4781"/>
    <w:rsid w:val="002F758A"/>
    <w:rsid w:val="002F7671"/>
    <w:rsid w:val="0030191C"/>
    <w:rsid w:val="003023B6"/>
    <w:rsid w:val="00303E35"/>
    <w:rsid w:val="003049E5"/>
    <w:rsid w:val="00305787"/>
    <w:rsid w:val="003060DE"/>
    <w:rsid w:val="00306354"/>
    <w:rsid w:val="00306578"/>
    <w:rsid w:val="003068A3"/>
    <w:rsid w:val="00306907"/>
    <w:rsid w:val="0030798A"/>
    <w:rsid w:val="00310211"/>
    <w:rsid w:val="00310695"/>
    <w:rsid w:val="0031096F"/>
    <w:rsid w:val="00310E5E"/>
    <w:rsid w:val="00311BFE"/>
    <w:rsid w:val="003133BB"/>
    <w:rsid w:val="003133E0"/>
    <w:rsid w:val="00313C66"/>
    <w:rsid w:val="00313D26"/>
    <w:rsid w:val="0031435A"/>
    <w:rsid w:val="00315365"/>
    <w:rsid w:val="003160AF"/>
    <w:rsid w:val="00316A4C"/>
    <w:rsid w:val="00316E00"/>
    <w:rsid w:val="0031708C"/>
    <w:rsid w:val="00317584"/>
    <w:rsid w:val="00317F7D"/>
    <w:rsid w:val="0032016D"/>
    <w:rsid w:val="003230C2"/>
    <w:rsid w:val="00323134"/>
    <w:rsid w:val="00323B20"/>
    <w:rsid w:val="0032426B"/>
    <w:rsid w:val="00326672"/>
    <w:rsid w:val="003310A0"/>
    <w:rsid w:val="003313F7"/>
    <w:rsid w:val="003325F6"/>
    <w:rsid w:val="00334FC2"/>
    <w:rsid w:val="00337A95"/>
    <w:rsid w:val="00337D37"/>
    <w:rsid w:val="00337E92"/>
    <w:rsid w:val="00340C23"/>
    <w:rsid w:val="00340E06"/>
    <w:rsid w:val="00342CCB"/>
    <w:rsid w:val="003430D1"/>
    <w:rsid w:val="00343849"/>
    <w:rsid w:val="00343D5B"/>
    <w:rsid w:val="003443A9"/>
    <w:rsid w:val="00344ACD"/>
    <w:rsid w:val="003466B7"/>
    <w:rsid w:val="00351915"/>
    <w:rsid w:val="00354580"/>
    <w:rsid w:val="00354C7D"/>
    <w:rsid w:val="00354EE3"/>
    <w:rsid w:val="00355079"/>
    <w:rsid w:val="00355273"/>
    <w:rsid w:val="00355396"/>
    <w:rsid w:val="00356564"/>
    <w:rsid w:val="0035692E"/>
    <w:rsid w:val="003576CE"/>
    <w:rsid w:val="00360B83"/>
    <w:rsid w:val="00360DB4"/>
    <w:rsid w:val="003615B3"/>
    <w:rsid w:val="00361A35"/>
    <w:rsid w:val="00361E54"/>
    <w:rsid w:val="00361E78"/>
    <w:rsid w:val="00362499"/>
    <w:rsid w:val="00363B0E"/>
    <w:rsid w:val="00365BB8"/>
    <w:rsid w:val="0036641E"/>
    <w:rsid w:val="00366AA5"/>
    <w:rsid w:val="00367F2E"/>
    <w:rsid w:val="00370D9D"/>
    <w:rsid w:val="00371064"/>
    <w:rsid w:val="00371C4E"/>
    <w:rsid w:val="003737D0"/>
    <w:rsid w:val="00373DE2"/>
    <w:rsid w:val="00374677"/>
    <w:rsid w:val="00374A7F"/>
    <w:rsid w:val="00375C96"/>
    <w:rsid w:val="00375EFB"/>
    <w:rsid w:val="00376E04"/>
    <w:rsid w:val="003777A0"/>
    <w:rsid w:val="00377AA0"/>
    <w:rsid w:val="00377EBE"/>
    <w:rsid w:val="00381432"/>
    <w:rsid w:val="00382271"/>
    <w:rsid w:val="00382E45"/>
    <w:rsid w:val="003833FA"/>
    <w:rsid w:val="00383536"/>
    <w:rsid w:val="00384ABE"/>
    <w:rsid w:val="00387752"/>
    <w:rsid w:val="00387E96"/>
    <w:rsid w:val="0039006A"/>
    <w:rsid w:val="0039035D"/>
    <w:rsid w:val="00391147"/>
    <w:rsid w:val="00394CFB"/>
    <w:rsid w:val="0039532A"/>
    <w:rsid w:val="00395388"/>
    <w:rsid w:val="003957AA"/>
    <w:rsid w:val="00396870"/>
    <w:rsid w:val="00397878"/>
    <w:rsid w:val="003A1365"/>
    <w:rsid w:val="003A1C77"/>
    <w:rsid w:val="003A20CC"/>
    <w:rsid w:val="003A2681"/>
    <w:rsid w:val="003A2B8E"/>
    <w:rsid w:val="003A3B0B"/>
    <w:rsid w:val="003A3C4D"/>
    <w:rsid w:val="003A52E8"/>
    <w:rsid w:val="003A5C00"/>
    <w:rsid w:val="003A62D7"/>
    <w:rsid w:val="003A6DB8"/>
    <w:rsid w:val="003A6E9B"/>
    <w:rsid w:val="003A749D"/>
    <w:rsid w:val="003A7DEA"/>
    <w:rsid w:val="003A7E86"/>
    <w:rsid w:val="003B00F7"/>
    <w:rsid w:val="003B1282"/>
    <w:rsid w:val="003B2B33"/>
    <w:rsid w:val="003B2D57"/>
    <w:rsid w:val="003B6F77"/>
    <w:rsid w:val="003B7A00"/>
    <w:rsid w:val="003C17B6"/>
    <w:rsid w:val="003C1831"/>
    <w:rsid w:val="003C31E6"/>
    <w:rsid w:val="003C362B"/>
    <w:rsid w:val="003C3862"/>
    <w:rsid w:val="003C3D18"/>
    <w:rsid w:val="003C53A0"/>
    <w:rsid w:val="003C56B5"/>
    <w:rsid w:val="003C57AE"/>
    <w:rsid w:val="003C5F3C"/>
    <w:rsid w:val="003C6227"/>
    <w:rsid w:val="003C6ADF"/>
    <w:rsid w:val="003C73D4"/>
    <w:rsid w:val="003C7580"/>
    <w:rsid w:val="003D0543"/>
    <w:rsid w:val="003D0556"/>
    <w:rsid w:val="003D1257"/>
    <w:rsid w:val="003D21D4"/>
    <w:rsid w:val="003D2D6F"/>
    <w:rsid w:val="003D304F"/>
    <w:rsid w:val="003D4381"/>
    <w:rsid w:val="003D5A01"/>
    <w:rsid w:val="003D5DC1"/>
    <w:rsid w:val="003D67F7"/>
    <w:rsid w:val="003D6866"/>
    <w:rsid w:val="003D7D9E"/>
    <w:rsid w:val="003E0B35"/>
    <w:rsid w:val="003E1B3B"/>
    <w:rsid w:val="003E1CD8"/>
    <w:rsid w:val="003E216E"/>
    <w:rsid w:val="003E2172"/>
    <w:rsid w:val="003E2686"/>
    <w:rsid w:val="003E2CE3"/>
    <w:rsid w:val="003E2E3F"/>
    <w:rsid w:val="003E323B"/>
    <w:rsid w:val="003E45F5"/>
    <w:rsid w:val="003E4869"/>
    <w:rsid w:val="003E4AF9"/>
    <w:rsid w:val="003E4FDA"/>
    <w:rsid w:val="003E5DE2"/>
    <w:rsid w:val="003E5FB3"/>
    <w:rsid w:val="003E75C5"/>
    <w:rsid w:val="003E7679"/>
    <w:rsid w:val="003F1196"/>
    <w:rsid w:val="003F138C"/>
    <w:rsid w:val="003F1829"/>
    <w:rsid w:val="003F20C2"/>
    <w:rsid w:val="003F3F2B"/>
    <w:rsid w:val="003F60A4"/>
    <w:rsid w:val="003F6D01"/>
    <w:rsid w:val="00400A49"/>
    <w:rsid w:val="00402882"/>
    <w:rsid w:val="0040371F"/>
    <w:rsid w:val="00404998"/>
    <w:rsid w:val="004059BC"/>
    <w:rsid w:val="00405C90"/>
    <w:rsid w:val="00405DA5"/>
    <w:rsid w:val="0040689F"/>
    <w:rsid w:val="00407B02"/>
    <w:rsid w:val="004102B5"/>
    <w:rsid w:val="00411245"/>
    <w:rsid w:val="0041231E"/>
    <w:rsid w:val="00413D9D"/>
    <w:rsid w:val="0041427E"/>
    <w:rsid w:val="0041615E"/>
    <w:rsid w:val="00416251"/>
    <w:rsid w:val="004162BC"/>
    <w:rsid w:val="0041660D"/>
    <w:rsid w:val="0041731C"/>
    <w:rsid w:val="0042082E"/>
    <w:rsid w:val="004229FC"/>
    <w:rsid w:val="00422DD0"/>
    <w:rsid w:val="00423BA3"/>
    <w:rsid w:val="004255E3"/>
    <w:rsid w:val="004268E6"/>
    <w:rsid w:val="00426CF8"/>
    <w:rsid w:val="00426D5B"/>
    <w:rsid w:val="00430847"/>
    <w:rsid w:val="00430EF4"/>
    <w:rsid w:val="00431211"/>
    <w:rsid w:val="004312C3"/>
    <w:rsid w:val="00431476"/>
    <w:rsid w:val="0043149F"/>
    <w:rsid w:val="004314D3"/>
    <w:rsid w:val="00432064"/>
    <w:rsid w:val="00432108"/>
    <w:rsid w:val="00432592"/>
    <w:rsid w:val="00432E5A"/>
    <w:rsid w:val="00434493"/>
    <w:rsid w:val="00434B2D"/>
    <w:rsid w:val="00434E2F"/>
    <w:rsid w:val="00435897"/>
    <w:rsid w:val="00437ED5"/>
    <w:rsid w:val="0044024A"/>
    <w:rsid w:val="00442FD2"/>
    <w:rsid w:val="00443C51"/>
    <w:rsid w:val="00444876"/>
    <w:rsid w:val="00446BF7"/>
    <w:rsid w:val="00447930"/>
    <w:rsid w:val="004508E6"/>
    <w:rsid w:val="00451950"/>
    <w:rsid w:val="00451FD7"/>
    <w:rsid w:val="00453362"/>
    <w:rsid w:val="00453366"/>
    <w:rsid w:val="00454ADA"/>
    <w:rsid w:val="00456898"/>
    <w:rsid w:val="004572BB"/>
    <w:rsid w:val="00457F9C"/>
    <w:rsid w:val="004618FE"/>
    <w:rsid w:val="004628FA"/>
    <w:rsid w:val="00463122"/>
    <w:rsid w:val="00463973"/>
    <w:rsid w:val="00463E42"/>
    <w:rsid w:val="00464362"/>
    <w:rsid w:val="0046505D"/>
    <w:rsid w:val="00465D56"/>
    <w:rsid w:val="00466F19"/>
    <w:rsid w:val="00467900"/>
    <w:rsid w:val="0047014A"/>
    <w:rsid w:val="00471D44"/>
    <w:rsid w:val="004723E6"/>
    <w:rsid w:val="00473408"/>
    <w:rsid w:val="00473D09"/>
    <w:rsid w:val="00474C7E"/>
    <w:rsid w:val="00475A1C"/>
    <w:rsid w:val="00477264"/>
    <w:rsid w:val="00477993"/>
    <w:rsid w:val="00480101"/>
    <w:rsid w:val="004801EE"/>
    <w:rsid w:val="004810EB"/>
    <w:rsid w:val="00481708"/>
    <w:rsid w:val="00481AC9"/>
    <w:rsid w:val="0048236F"/>
    <w:rsid w:val="00482A98"/>
    <w:rsid w:val="00483095"/>
    <w:rsid w:val="004836EC"/>
    <w:rsid w:val="00483849"/>
    <w:rsid w:val="00483BCA"/>
    <w:rsid w:val="00484252"/>
    <w:rsid w:val="00484753"/>
    <w:rsid w:val="00484A36"/>
    <w:rsid w:val="00484EF6"/>
    <w:rsid w:val="004850FE"/>
    <w:rsid w:val="00485956"/>
    <w:rsid w:val="00485E5C"/>
    <w:rsid w:val="00485E88"/>
    <w:rsid w:val="00486305"/>
    <w:rsid w:val="00490117"/>
    <w:rsid w:val="00490248"/>
    <w:rsid w:val="00490C7C"/>
    <w:rsid w:val="00490E88"/>
    <w:rsid w:val="00491D99"/>
    <w:rsid w:val="004922C1"/>
    <w:rsid w:val="0049368B"/>
    <w:rsid w:val="00493B8F"/>
    <w:rsid w:val="00494B51"/>
    <w:rsid w:val="00494FB1"/>
    <w:rsid w:val="00495660"/>
    <w:rsid w:val="004957E2"/>
    <w:rsid w:val="004A093E"/>
    <w:rsid w:val="004A1180"/>
    <w:rsid w:val="004A25B0"/>
    <w:rsid w:val="004A432F"/>
    <w:rsid w:val="004A4519"/>
    <w:rsid w:val="004A4640"/>
    <w:rsid w:val="004A6525"/>
    <w:rsid w:val="004A7BCD"/>
    <w:rsid w:val="004B1511"/>
    <w:rsid w:val="004B1C04"/>
    <w:rsid w:val="004B1F82"/>
    <w:rsid w:val="004B31CC"/>
    <w:rsid w:val="004B335F"/>
    <w:rsid w:val="004B3C50"/>
    <w:rsid w:val="004B4797"/>
    <w:rsid w:val="004B4CD1"/>
    <w:rsid w:val="004B6649"/>
    <w:rsid w:val="004B7429"/>
    <w:rsid w:val="004C21CE"/>
    <w:rsid w:val="004C3E9E"/>
    <w:rsid w:val="004C4359"/>
    <w:rsid w:val="004C5379"/>
    <w:rsid w:val="004C7B4D"/>
    <w:rsid w:val="004D016D"/>
    <w:rsid w:val="004D1324"/>
    <w:rsid w:val="004D1CD9"/>
    <w:rsid w:val="004D357A"/>
    <w:rsid w:val="004D3E9D"/>
    <w:rsid w:val="004D4B25"/>
    <w:rsid w:val="004D53B2"/>
    <w:rsid w:val="004D5B0D"/>
    <w:rsid w:val="004D672F"/>
    <w:rsid w:val="004D679C"/>
    <w:rsid w:val="004E0AD4"/>
    <w:rsid w:val="004E2C22"/>
    <w:rsid w:val="004E2F55"/>
    <w:rsid w:val="004E31BF"/>
    <w:rsid w:val="004E4991"/>
    <w:rsid w:val="004E53CF"/>
    <w:rsid w:val="004E5649"/>
    <w:rsid w:val="004E5EB4"/>
    <w:rsid w:val="004E639B"/>
    <w:rsid w:val="004E6484"/>
    <w:rsid w:val="004E7031"/>
    <w:rsid w:val="004E7A09"/>
    <w:rsid w:val="004F0C3A"/>
    <w:rsid w:val="004F17AB"/>
    <w:rsid w:val="004F31FF"/>
    <w:rsid w:val="004F4B7D"/>
    <w:rsid w:val="004F62DC"/>
    <w:rsid w:val="004F68F7"/>
    <w:rsid w:val="004F767A"/>
    <w:rsid w:val="004F7EF0"/>
    <w:rsid w:val="00500099"/>
    <w:rsid w:val="0050185D"/>
    <w:rsid w:val="00501A0B"/>
    <w:rsid w:val="00501BDF"/>
    <w:rsid w:val="00502D0B"/>
    <w:rsid w:val="0050374F"/>
    <w:rsid w:val="00503EA1"/>
    <w:rsid w:val="0050405A"/>
    <w:rsid w:val="0050421D"/>
    <w:rsid w:val="00504C33"/>
    <w:rsid w:val="00504CC5"/>
    <w:rsid w:val="0050682F"/>
    <w:rsid w:val="005078ED"/>
    <w:rsid w:val="00507D4B"/>
    <w:rsid w:val="00510573"/>
    <w:rsid w:val="0051070E"/>
    <w:rsid w:val="00511657"/>
    <w:rsid w:val="00512C12"/>
    <w:rsid w:val="00512CDD"/>
    <w:rsid w:val="005132A6"/>
    <w:rsid w:val="00514A63"/>
    <w:rsid w:val="00514C29"/>
    <w:rsid w:val="0051664F"/>
    <w:rsid w:val="005205E4"/>
    <w:rsid w:val="00520DE9"/>
    <w:rsid w:val="0052299A"/>
    <w:rsid w:val="005233CB"/>
    <w:rsid w:val="00523B26"/>
    <w:rsid w:val="00523E58"/>
    <w:rsid w:val="005240FC"/>
    <w:rsid w:val="00525537"/>
    <w:rsid w:val="00525A6A"/>
    <w:rsid w:val="005271E6"/>
    <w:rsid w:val="00527E28"/>
    <w:rsid w:val="00530505"/>
    <w:rsid w:val="005319D7"/>
    <w:rsid w:val="0053280C"/>
    <w:rsid w:val="0053376E"/>
    <w:rsid w:val="005343B0"/>
    <w:rsid w:val="005345D9"/>
    <w:rsid w:val="00535FE0"/>
    <w:rsid w:val="00536B7F"/>
    <w:rsid w:val="005370B7"/>
    <w:rsid w:val="00537EFB"/>
    <w:rsid w:val="00540371"/>
    <w:rsid w:val="00540CDB"/>
    <w:rsid w:val="00541B2D"/>
    <w:rsid w:val="00541DEF"/>
    <w:rsid w:val="005422B9"/>
    <w:rsid w:val="00542B4D"/>
    <w:rsid w:val="00543662"/>
    <w:rsid w:val="00543750"/>
    <w:rsid w:val="005440B3"/>
    <w:rsid w:val="005442C7"/>
    <w:rsid w:val="005450F4"/>
    <w:rsid w:val="005457AB"/>
    <w:rsid w:val="0054674E"/>
    <w:rsid w:val="00551C3A"/>
    <w:rsid w:val="00552014"/>
    <w:rsid w:val="0055278E"/>
    <w:rsid w:val="005527DA"/>
    <w:rsid w:val="00553854"/>
    <w:rsid w:val="00553DE3"/>
    <w:rsid w:val="00556FBB"/>
    <w:rsid w:val="005570AD"/>
    <w:rsid w:val="00557EC8"/>
    <w:rsid w:val="00561063"/>
    <w:rsid w:val="00563E6E"/>
    <w:rsid w:val="00563F5C"/>
    <w:rsid w:val="005644F5"/>
    <w:rsid w:val="00564665"/>
    <w:rsid w:val="00564AEB"/>
    <w:rsid w:val="00567CD5"/>
    <w:rsid w:val="00571AFD"/>
    <w:rsid w:val="00571B97"/>
    <w:rsid w:val="00572A38"/>
    <w:rsid w:val="00572D75"/>
    <w:rsid w:val="00573214"/>
    <w:rsid w:val="00574CA3"/>
    <w:rsid w:val="00575547"/>
    <w:rsid w:val="00575D6D"/>
    <w:rsid w:val="00576A4F"/>
    <w:rsid w:val="005777D8"/>
    <w:rsid w:val="00577C3C"/>
    <w:rsid w:val="00580A6E"/>
    <w:rsid w:val="00580E00"/>
    <w:rsid w:val="00582688"/>
    <w:rsid w:val="00583F4C"/>
    <w:rsid w:val="00584221"/>
    <w:rsid w:val="00584E0A"/>
    <w:rsid w:val="0058520B"/>
    <w:rsid w:val="00585315"/>
    <w:rsid w:val="005855EB"/>
    <w:rsid w:val="00586D90"/>
    <w:rsid w:val="00587AF4"/>
    <w:rsid w:val="00590D11"/>
    <w:rsid w:val="00591E35"/>
    <w:rsid w:val="0059217C"/>
    <w:rsid w:val="0059218B"/>
    <w:rsid w:val="005956FE"/>
    <w:rsid w:val="0059655F"/>
    <w:rsid w:val="00596C1F"/>
    <w:rsid w:val="005973FA"/>
    <w:rsid w:val="0059746C"/>
    <w:rsid w:val="005A04BE"/>
    <w:rsid w:val="005A076E"/>
    <w:rsid w:val="005A07D8"/>
    <w:rsid w:val="005A0A55"/>
    <w:rsid w:val="005A1E8F"/>
    <w:rsid w:val="005A353C"/>
    <w:rsid w:val="005A3540"/>
    <w:rsid w:val="005A3D8D"/>
    <w:rsid w:val="005A4072"/>
    <w:rsid w:val="005A45F1"/>
    <w:rsid w:val="005A665C"/>
    <w:rsid w:val="005B0657"/>
    <w:rsid w:val="005B0801"/>
    <w:rsid w:val="005B120E"/>
    <w:rsid w:val="005B1D99"/>
    <w:rsid w:val="005B282E"/>
    <w:rsid w:val="005B3828"/>
    <w:rsid w:val="005B6A4D"/>
    <w:rsid w:val="005C112E"/>
    <w:rsid w:val="005C127B"/>
    <w:rsid w:val="005C29B1"/>
    <w:rsid w:val="005C2BE2"/>
    <w:rsid w:val="005C2EC2"/>
    <w:rsid w:val="005C3203"/>
    <w:rsid w:val="005C3CB1"/>
    <w:rsid w:val="005C41E9"/>
    <w:rsid w:val="005C5B7A"/>
    <w:rsid w:val="005C6023"/>
    <w:rsid w:val="005C6689"/>
    <w:rsid w:val="005C75B8"/>
    <w:rsid w:val="005D0D4E"/>
    <w:rsid w:val="005D10B9"/>
    <w:rsid w:val="005D1806"/>
    <w:rsid w:val="005D1E8E"/>
    <w:rsid w:val="005D3EDA"/>
    <w:rsid w:val="005D421F"/>
    <w:rsid w:val="005E088B"/>
    <w:rsid w:val="005E1E70"/>
    <w:rsid w:val="005E28F2"/>
    <w:rsid w:val="005E2FEC"/>
    <w:rsid w:val="005E5A24"/>
    <w:rsid w:val="005E5FE8"/>
    <w:rsid w:val="005E7975"/>
    <w:rsid w:val="005E7A31"/>
    <w:rsid w:val="005F0B09"/>
    <w:rsid w:val="005F3618"/>
    <w:rsid w:val="005F4793"/>
    <w:rsid w:val="005F68BD"/>
    <w:rsid w:val="005F75C1"/>
    <w:rsid w:val="005F78B5"/>
    <w:rsid w:val="005F798C"/>
    <w:rsid w:val="005F7F0B"/>
    <w:rsid w:val="00600133"/>
    <w:rsid w:val="00600B7B"/>
    <w:rsid w:val="00601404"/>
    <w:rsid w:val="00602356"/>
    <w:rsid w:val="00602472"/>
    <w:rsid w:val="006027A4"/>
    <w:rsid w:val="00603DD3"/>
    <w:rsid w:val="00603E4B"/>
    <w:rsid w:val="00604860"/>
    <w:rsid w:val="0060497C"/>
    <w:rsid w:val="00604E51"/>
    <w:rsid w:val="00605335"/>
    <w:rsid w:val="00605DF6"/>
    <w:rsid w:val="00606869"/>
    <w:rsid w:val="006076C3"/>
    <w:rsid w:val="00607B6B"/>
    <w:rsid w:val="00613331"/>
    <w:rsid w:val="00613A6D"/>
    <w:rsid w:val="00613C09"/>
    <w:rsid w:val="00614C30"/>
    <w:rsid w:val="00614F5E"/>
    <w:rsid w:val="006157C1"/>
    <w:rsid w:val="00616D9F"/>
    <w:rsid w:val="006175BE"/>
    <w:rsid w:val="006175D8"/>
    <w:rsid w:val="006203CB"/>
    <w:rsid w:val="00620E0C"/>
    <w:rsid w:val="00621166"/>
    <w:rsid w:val="006216AF"/>
    <w:rsid w:val="00622432"/>
    <w:rsid w:val="00622B90"/>
    <w:rsid w:val="006245E9"/>
    <w:rsid w:val="00624963"/>
    <w:rsid w:val="0062562A"/>
    <w:rsid w:val="00625683"/>
    <w:rsid w:val="006256E0"/>
    <w:rsid w:val="00626C94"/>
    <w:rsid w:val="006310EC"/>
    <w:rsid w:val="00631770"/>
    <w:rsid w:val="00631D80"/>
    <w:rsid w:val="006323A9"/>
    <w:rsid w:val="00632451"/>
    <w:rsid w:val="006329AF"/>
    <w:rsid w:val="00632AA8"/>
    <w:rsid w:val="006334C0"/>
    <w:rsid w:val="00633BA9"/>
    <w:rsid w:val="00635463"/>
    <w:rsid w:val="00636A45"/>
    <w:rsid w:val="00637544"/>
    <w:rsid w:val="00637E2D"/>
    <w:rsid w:val="006410B8"/>
    <w:rsid w:val="006416E5"/>
    <w:rsid w:val="00642CCB"/>
    <w:rsid w:val="00643CED"/>
    <w:rsid w:val="006447FD"/>
    <w:rsid w:val="00647E97"/>
    <w:rsid w:val="00650EFD"/>
    <w:rsid w:val="0065101A"/>
    <w:rsid w:val="00651A41"/>
    <w:rsid w:val="00653331"/>
    <w:rsid w:val="006541C0"/>
    <w:rsid w:val="00655A3B"/>
    <w:rsid w:val="00656105"/>
    <w:rsid w:val="00657305"/>
    <w:rsid w:val="0066124C"/>
    <w:rsid w:val="00661F58"/>
    <w:rsid w:val="006622C8"/>
    <w:rsid w:val="00662432"/>
    <w:rsid w:val="006624E1"/>
    <w:rsid w:val="006627B1"/>
    <w:rsid w:val="00663F62"/>
    <w:rsid w:val="006642AE"/>
    <w:rsid w:val="0066460F"/>
    <w:rsid w:val="006658DA"/>
    <w:rsid w:val="00665A6C"/>
    <w:rsid w:val="00665EF3"/>
    <w:rsid w:val="006661A0"/>
    <w:rsid w:val="00666D04"/>
    <w:rsid w:val="006674B3"/>
    <w:rsid w:val="006717B2"/>
    <w:rsid w:val="006717F4"/>
    <w:rsid w:val="00671B8D"/>
    <w:rsid w:val="0067244D"/>
    <w:rsid w:val="00673721"/>
    <w:rsid w:val="00674962"/>
    <w:rsid w:val="00674A2C"/>
    <w:rsid w:val="0067740C"/>
    <w:rsid w:val="00680C55"/>
    <w:rsid w:val="006813CD"/>
    <w:rsid w:val="006814EE"/>
    <w:rsid w:val="00681866"/>
    <w:rsid w:val="00684561"/>
    <w:rsid w:val="00684A95"/>
    <w:rsid w:val="006855C6"/>
    <w:rsid w:val="006866C5"/>
    <w:rsid w:val="00686C3B"/>
    <w:rsid w:val="006878B1"/>
    <w:rsid w:val="006901CA"/>
    <w:rsid w:val="00690355"/>
    <w:rsid w:val="00690457"/>
    <w:rsid w:val="00690E4A"/>
    <w:rsid w:val="00691C9C"/>
    <w:rsid w:val="00693143"/>
    <w:rsid w:val="006932D0"/>
    <w:rsid w:val="00693C9A"/>
    <w:rsid w:val="00693E87"/>
    <w:rsid w:val="00694EF6"/>
    <w:rsid w:val="006977FC"/>
    <w:rsid w:val="006A0C30"/>
    <w:rsid w:val="006A130C"/>
    <w:rsid w:val="006A1872"/>
    <w:rsid w:val="006A1B08"/>
    <w:rsid w:val="006A1CD6"/>
    <w:rsid w:val="006A2798"/>
    <w:rsid w:val="006A29A5"/>
    <w:rsid w:val="006A2E04"/>
    <w:rsid w:val="006A4A1C"/>
    <w:rsid w:val="006A54CF"/>
    <w:rsid w:val="006A5AB3"/>
    <w:rsid w:val="006A5CF4"/>
    <w:rsid w:val="006A663C"/>
    <w:rsid w:val="006A6C13"/>
    <w:rsid w:val="006A74DF"/>
    <w:rsid w:val="006B12F4"/>
    <w:rsid w:val="006B13F9"/>
    <w:rsid w:val="006B186D"/>
    <w:rsid w:val="006B1A29"/>
    <w:rsid w:val="006B1F1F"/>
    <w:rsid w:val="006B2E33"/>
    <w:rsid w:val="006B38B9"/>
    <w:rsid w:val="006B3C73"/>
    <w:rsid w:val="006B486D"/>
    <w:rsid w:val="006B4D10"/>
    <w:rsid w:val="006B5C68"/>
    <w:rsid w:val="006B616B"/>
    <w:rsid w:val="006B65D1"/>
    <w:rsid w:val="006B705C"/>
    <w:rsid w:val="006C019F"/>
    <w:rsid w:val="006C0B3A"/>
    <w:rsid w:val="006C0D44"/>
    <w:rsid w:val="006C2165"/>
    <w:rsid w:val="006C2187"/>
    <w:rsid w:val="006C3701"/>
    <w:rsid w:val="006C4143"/>
    <w:rsid w:val="006C4888"/>
    <w:rsid w:val="006C4ACF"/>
    <w:rsid w:val="006C4C2F"/>
    <w:rsid w:val="006C53DD"/>
    <w:rsid w:val="006C5A94"/>
    <w:rsid w:val="006C5B31"/>
    <w:rsid w:val="006C7157"/>
    <w:rsid w:val="006C7F44"/>
    <w:rsid w:val="006D1387"/>
    <w:rsid w:val="006D2A9B"/>
    <w:rsid w:val="006D33F0"/>
    <w:rsid w:val="006D3788"/>
    <w:rsid w:val="006D3D56"/>
    <w:rsid w:val="006D3EB0"/>
    <w:rsid w:val="006D5DCB"/>
    <w:rsid w:val="006D5EE2"/>
    <w:rsid w:val="006D6390"/>
    <w:rsid w:val="006D6475"/>
    <w:rsid w:val="006D688E"/>
    <w:rsid w:val="006D6AA8"/>
    <w:rsid w:val="006D6C59"/>
    <w:rsid w:val="006D7821"/>
    <w:rsid w:val="006E0DA3"/>
    <w:rsid w:val="006E1F58"/>
    <w:rsid w:val="006E21B6"/>
    <w:rsid w:val="006E3A33"/>
    <w:rsid w:val="006E3C3C"/>
    <w:rsid w:val="006E3F7F"/>
    <w:rsid w:val="006E4A53"/>
    <w:rsid w:val="006E4E90"/>
    <w:rsid w:val="006E4FF7"/>
    <w:rsid w:val="006E60E4"/>
    <w:rsid w:val="006E6B5D"/>
    <w:rsid w:val="006E6E82"/>
    <w:rsid w:val="006E70D0"/>
    <w:rsid w:val="006F094B"/>
    <w:rsid w:val="006F1747"/>
    <w:rsid w:val="006F2989"/>
    <w:rsid w:val="006F5EC2"/>
    <w:rsid w:val="006F7EDE"/>
    <w:rsid w:val="006F7FDC"/>
    <w:rsid w:val="0070076E"/>
    <w:rsid w:val="00700EE7"/>
    <w:rsid w:val="00702401"/>
    <w:rsid w:val="00703A31"/>
    <w:rsid w:val="007048E5"/>
    <w:rsid w:val="0070582E"/>
    <w:rsid w:val="00705AD1"/>
    <w:rsid w:val="00705F05"/>
    <w:rsid w:val="00706EA8"/>
    <w:rsid w:val="00707378"/>
    <w:rsid w:val="00707954"/>
    <w:rsid w:val="00710694"/>
    <w:rsid w:val="007115C9"/>
    <w:rsid w:val="007120A2"/>
    <w:rsid w:val="00712177"/>
    <w:rsid w:val="00712881"/>
    <w:rsid w:val="00713913"/>
    <w:rsid w:val="00714E8C"/>
    <w:rsid w:val="0071658C"/>
    <w:rsid w:val="00716804"/>
    <w:rsid w:val="00716F48"/>
    <w:rsid w:val="0071786A"/>
    <w:rsid w:val="007207A6"/>
    <w:rsid w:val="00720C2B"/>
    <w:rsid w:val="007210DC"/>
    <w:rsid w:val="0072214A"/>
    <w:rsid w:val="00722555"/>
    <w:rsid w:val="00722E64"/>
    <w:rsid w:val="007237B9"/>
    <w:rsid w:val="0072693A"/>
    <w:rsid w:val="00727D5B"/>
    <w:rsid w:val="00730A54"/>
    <w:rsid w:val="00730B0F"/>
    <w:rsid w:val="00730D39"/>
    <w:rsid w:val="00733C6E"/>
    <w:rsid w:val="007345D9"/>
    <w:rsid w:val="0073603E"/>
    <w:rsid w:val="007365E2"/>
    <w:rsid w:val="0073794B"/>
    <w:rsid w:val="00737BC9"/>
    <w:rsid w:val="0074100B"/>
    <w:rsid w:val="007418EF"/>
    <w:rsid w:val="007429D8"/>
    <w:rsid w:val="00743B35"/>
    <w:rsid w:val="007447E5"/>
    <w:rsid w:val="00744F26"/>
    <w:rsid w:val="007452D7"/>
    <w:rsid w:val="00745A33"/>
    <w:rsid w:val="00746AA5"/>
    <w:rsid w:val="00747F6C"/>
    <w:rsid w:val="007502E1"/>
    <w:rsid w:val="00750B23"/>
    <w:rsid w:val="00750B69"/>
    <w:rsid w:val="00750EAF"/>
    <w:rsid w:val="00751017"/>
    <w:rsid w:val="0075158E"/>
    <w:rsid w:val="007515FD"/>
    <w:rsid w:val="00751854"/>
    <w:rsid w:val="00752434"/>
    <w:rsid w:val="00752B53"/>
    <w:rsid w:val="0075392F"/>
    <w:rsid w:val="00753B63"/>
    <w:rsid w:val="0075523A"/>
    <w:rsid w:val="007554DB"/>
    <w:rsid w:val="0075659F"/>
    <w:rsid w:val="00760C7C"/>
    <w:rsid w:val="00762D91"/>
    <w:rsid w:val="00764D1B"/>
    <w:rsid w:val="0076521D"/>
    <w:rsid w:val="00765465"/>
    <w:rsid w:val="007666A5"/>
    <w:rsid w:val="00766F7C"/>
    <w:rsid w:val="007672B9"/>
    <w:rsid w:val="00770400"/>
    <w:rsid w:val="00771ED3"/>
    <w:rsid w:val="00771F5C"/>
    <w:rsid w:val="00772163"/>
    <w:rsid w:val="00774075"/>
    <w:rsid w:val="00774827"/>
    <w:rsid w:val="00774B8A"/>
    <w:rsid w:val="007754AA"/>
    <w:rsid w:val="00776B95"/>
    <w:rsid w:val="00777F75"/>
    <w:rsid w:val="00780364"/>
    <w:rsid w:val="0078150E"/>
    <w:rsid w:val="00781589"/>
    <w:rsid w:val="00781AE7"/>
    <w:rsid w:val="00782552"/>
    <w:rsid w:val="00782D45"/>
    <w:rsid w:val="00782E9F"/>
    <w:rsid w:val="00783647"/>
    <w:rsid w:val="0078389D"/>
    <w:rsid w:val="007852C1"/>
    <w:rsid w:val="00785637"/>
    <w:rsid w:val="0079006B"/>
    <w:rsid w:val="00790555"/>
    <w:rsid w:val="00791119"/>
    <w:rsid w:val="00795205"/>
    <w:rsid w:val="00795987"/>
    <w:rsid w:val="00795B45"/>
    <w:rsid w:val="00795CCF"/>
    <w:rsid w:val="00797200"/>
    <w:rsid w:val="00797C15"/>
    <w:rsid w:val="007A010F"/>
    <w:rsid w:val="007A02D4"/>
    <w:rsid w:val="007A13C9"/>
    <w:rsid w:val="007A155A"/>
    <w:rsid w:val="007A1968"/>
    <w:rsid w:val="007A1C86"/>
    <w:rsid w:val="007A29B7"/>
    <w:rsid w:val="007A2B11"/>
    <w:rsid w:val="007A3734"/>
    <w:rsid w:val="007A3A61"/>
    <w:rsid w:val="007A4318"/>
    <w:rsid w:val="007A4FB8"/>
    <w:rsid w:val="007A52AC"/>
    <w:rsid w:val="007A5DDE"/>
    <w:rsid w:val="007A6635"/>
    <w:rsid w:val="007A7D4D"/>
    <w:rsid w:val="007B0F48"/>
    <w:rsid w:val="007B335E"/>
    <w:rsid w:val="007B3922"/>
    <w:rsid w:val="007B4C64"/>
    <w:rsid w:val="007B4E3D"/>
    <w:rsid w:val="007B647D"/>
    <w:rsid w:val="007B7051"/>
    <w:rsid w:val="007B7DA7"/>
    <w:rsid w:val="007C0520"/>
    <w:rsid w:val="007C19F4"/>
    <w:rsid w:val="007C32D5"/>
    <w:rsid w:val="007C3E83"/>
    <w:rsid w:val="007C509E"/>
    <w:rsid w:val="007C53D3"/>
    <w:rsid w:val="007C55DD"/>
    <w:rsid w:val="007C7A30"/>
    <w:rsid w:val="007D0FF2"/>
    <w:rsid w:val="007D2BC5"/>
    <w:rsid w:val="007D2F6B"/>
    <w:rsid w:val="007D31A6"/>
    <w:rsid w:val="007D3CC5"/>
    <w:rsid w:val="007D4AA9"/>
    <w:rsid w:val="007D4F4D"/>
    <w:rsid w:val="007D687B"/>
    <w:rsid w:val="007E154C"/>
    <w:rsid w:val="007E38DD"/>
    <w:rsid w:val="007E3914"/>
    <w:rsid w:val="007E39E5"/>
    <w:rsid w:val="007E42C4"/>
    <w:rsid w:val="007E44F0"/>
    <w:rsid w:val="007E4BC7"/>
    <w:rsid w:val="007E4E72"/>
    <w:rsid w:val="007E56F6"/>
    <w:rsid w:val="007E5E35"/>
    <w:rsid w:val="007E6240"/>
    <w:rsid w:val="007F06AE"/>
    <w:rsid w:val="007F08C5"/>
    <w:rsid w:val="007F1454"/>
    <w:rsid w:val="007F2F42"/>
    <w:rsid w:val="007F3D78"/>
    <w:rsid w:val="007F4780"/>
    <w:rsid w:val="007F4CAA"/>
    <w:rsid w:val="007F572F"/>
    <w:rsid w:val="007F5BDC"/>
    <w:rsid w:val="007F7975"/>
    <w:rsid w:val="0080021E"/>
    <w:rsid w:val="00800890"/>
    <w:rsid w:val="00800FFF"/>
    <w:rsid w:val="00802CBE"/>
    <w:rsid w:val="00803656"/>
    <w:rsid w:val="00803F6D"/>
    <w:rsid w:val="0080440A"/>
    <w:rsid w:val="00804977"/>
    <w:rsid w:val="0080574B"/>
    <w:rsid w:val="008061B8"/>
    <w:rsid w:val="00806B27"/>
    <w:rsid w:val="00806DA9"/>
    <w:rsid w:val="00807218"/>
    <w:rsid w:val="008076A3"/>
    <w:rsid w:val="008103A9"/>
    <w:rsid w:val="00810AFF"/>
    <w:rsid w:val="00810F99"/>
    <w:rsid w:val="0081108F"/>
    <w:rsid w:val="00812107"/>
    <w:rsid w:val="00812742"/>
    <w:rsid w:val="0081277C"/>
    <w:rsid w:val="00813465"/>
    <w:rsid w:val="00813F40"/>
    <w:rsid w:val="008146B4"/>
    <w:rsid w:val="00814FB8"/>
    <w:rsid w:val="0081615B"/>
    <w:rsid w:val="00816F6B"/>
    <w:rsid w:val="0081764B"/>
    <w:rsid w:val="008202DD"/>
    <w:rsid w:val="00820802"/>
    <w:rsid w:val="00820BBE"/>
    <w:rsid w:val="00821B29"/>
    <w:rsid w:val="00822E55"/>
    <w:rsid w:val="008233FD"/>
    <w:rsid w:val="0082407E"/>
    <w:rsid w:val="008242A6"/>
    <w:rsid w:val="00824431"/>
    <w:rsid w:val="00824E88"/>
    <w:rsid w:val="008255AE"/>
    <w:rsid w:val="0082570E"/>
    <w:rsid w:val="00826104"/>
    <w:rsid w:val="008264FF"/>
    <w:rsid w:val="00826F8F"/>
    <w:rsid w:val="0083044A"/>
    <w:rsid w:val="00830545"/>
    <w:rsid w:val="00830562"/>
    <w:rsid w:val="0083149D"/>
    <w:rsid w:val="00832225"/>
    <w:rsid w:val="0083284D"/>
    <w:rsid w:val="008332F5"/>
    <w:rsid w:val="00834693"/>
    <w:rsid w:val="008346BC"/>
    <w:rsid w:val="00834ADB"/>
    <w:rsid w:val="00834EB5"/>
    <w:rsid w:val="00836438"/>
    <w:rsid w:val="00836FDB"/>
    <w:rsid w:val="0083788E"/>
    <w:rsid w:val="00840696"/>
    <w:rsid w:val="008412E1"/>
    <w:rsid w:val="00844CC4"/>
    <w:rsid w:val="0084599B"/>
    <w:rsid w:val="008479E0"/>
    <w:rsid w:val="008504D4"/>
    <w:rsid w:val="00851018"/>
    <w:rsid w:val="00852709"/>
    <w:rsid w:val="0085310A"/>
    <w:rsid w:val="008535D6"/>
    <w:rsid w:val="008539D3"/>
    <w:rsid w:val="00854C84"/>
    <w:rsid w:val="00855AEB"/>
    <w:rsid w:val="00855BF1"/>
    <w:rsid w:val="0085640E"/>
    <w:rsid w:val="0085657D"/>
    <w:rsid w:val="00856A98"/>
    <w:rsid w:val="00860204"/>
    <w:rsid w:val="00861D6A"/>
    <w:rsid w:val="008626CA"/>
    <w:rsid w:val="008627DE"/>
    <w:rsid w:val="008633C1"/>
    <w:rsid w:val="00863AAE"/>
    <w:rsid w:val="00863FA9"/>
    <w:rsid w:val="00864396"/>
    <w:rsid w:val="008645B6"/>
    <w:rsid w:val="008677DC"/>
    <w:rsid w:val="00867D41"/>
    <w:rsid w:val="00871FC6"/>
    <w:rsid w:val="008727EE"/>
    <w:rsid w:val="008728A6"/>
    <w:rsid w:val="00873ED1"/>
    <w:rsid w:val="00874D00"/>
    <w:rsid w:val="0087504B"/>
    <w:rsid w:val="00875E32"/>
    <w:rsid w:val="00881C64"/>
    <w:rsid w:val="00882DF3"/>
    <w:rsid w:val="008832F0"/>
    <w:rsid w:val="00883D3C"/>
    <w:rsid w:val="00884DE0"/>
    <w:rsid w:val="008865F7"/>
    <w:rsid w:val="00886F26"/>
    <w:rsid w:val="00887697"/>
    <w:rsid w:val="00887ADF"/>
    <w:rsid w:val="00887C3F"/>
    <w:rsid w:val="00887C82"/>
    <w:rsid w:val="0089072D"/>
    <w:rsid w:val="00891EA4"/>
    <w:rsid w:val="00892014"/>
    <w:rsid w:val="00892316"/>
    <w:rsid w:val="00894712"/>
    <w:rsid w:val="00895841"/>
    <w:rsid w:val="00897870"/>
    <w:rsid w:val="00897A0F"/>
    <w:rsid w:val="008A026C"/>
    <w:rsid w:val="008A191D"/>
    <w:rsid w:val="008A22DA"/>
    <w:rsid w:val="008A4484"/>
    <w:rsid w:val="008A45AB"/>
    <w:rsid w:val="008A4FFC"/>
    <w:rsid w:val="008A7D58"/>
    <w:rsid w:val="008A7D68"/>
    <w:rsid w:val="008B0188"/>
    <w:rsid w:val="008B0955"/>
    <w:rsid w:val="008B17F0"/>
    <w:rsid w:val="008B1977"/>
    <w:rsid w:val="008B768D"/>
    <w:rsid w:val="008B7CE2"/>
    <w:rsid w:val="008C0617"/>
    <w:rsid w:val="008C0697"/>
    <w:rsid w:val="008C0F1A"/>
    <w:rsid w:val="008C17F6"/>
    <w:rsid w:val="008C1AB5"/>
    <w:rsid w:val="008C2216"/>
    <w:rsid w:val="008C2EBE"/>
    <w:rsid w:val="008C305D"/>
    <w:rsid w:val="008C37CB"/>
    <w:rsid w:val="008C4A6E"/>
    <w:rsid w:val="008C4CF3"/>
    <w:rsid w:val="008C5408"/>
    <w:rsid w:val="008C5AB3"/>
    <w:rsid w:val="008C5C2A"/>
    <w:rsid w:val="008C744F"/>
    <w:rsid w:val="008D0BF1"/>
    <w:rsid w:val="008D22AE"/>
    <w:rsid w:val="008D2675"/>
    <w:rsid w:val="008D41EC"/>
    <w:rsid w:val="008D4C95"/>
    <w:rsid w:val="008D4DBA"/>
    <w:rsid w:val="008D636C"/>
    <w:rsid w:val="008D6B7D"/>
    <w:rsid w:val="008D752B"/>
    <w:rsid w:val="008D7843"/>
    <w:rsid w:val="008E0D80"/>
    <w:rsid w:val="008E17D0"/>
    <w:rsid w:val="008E1AF5"/>
    <w:rsid w:val="008E27D1"/>
    <w:rsid w:val="008E3925"/>
    <w:rsid w:val="008E3B06"/>
    <w:rsid w:val="008E4ECA"/>
    <w:rsid w:val="008E6E28"/>
    <w:rsid w:val="008E77DF"/>
    <w:rsid w:val="008E7B1A"/>
    <w:rsid w:val="008F0408"/>
    <w:rsid w:val="008F081D"/>
    <w:rsid w:val="008F10B7"/>
    <w:rsid w:val="008F1FCB"/>
    <w:rsid w:val="008F2320"/>
    <w:rsid w:val="008F39C3"/>
    <w:rsid w:val="008F3CAC"/>
    <w:rsid w:val="008F40C6"/>
    <w:rsid w:val="008F56F9"/>
    <w:rsid w:val="008F61DF"/>
    <w:rsid w:val="008F6635"/>
    <w:rsid w:val="008F6824"/>
    <w:rsid w:val="008F72E9"/>
    <w:rsid w:val="008F786E"/>
    <w:rsid w:val="00903528"/>
    <w:rsid w:val="00903608"/>
    <w:rsid w:val="00904255"/>
    <w:rsid w:val="009044DB"/>
    <w:rsid w:val="0090567A"/>
    <w:rsid w:val="009058BE"/>
    <w:rsid w:val="00906349"/>
    <w:rsid w:val="00910B40"/>
    <w:rsid w:val="00911478"/>
    <w:rsid w:val="0091286B"/>
    <w:rsid w:val="009147F8"/>
    <w:rsid w:val="00914C59"/>
    <w:rsid w:val="00914EC9"/>
    <w:rsid w:val="0091531A"/>
    <w:rsid w:val="00915C94"/>
    <w:rsid w:val="00915F15"/>
    <w:rsid w:val="00916C0E"/>
    <w:rsid w:val="0091772F"/>
    <w:rsid w:val="009178AF"/>
    <w:rsid w:val="0092155F"/>
    <w:rsid w:val="00921F4E"/>
    <w:rsid w:val="00922B80"/>
    <w:rsid w:val="00923C4E"/>
    <w:rsid w:val="00923D66"/>
    <w:rsid w:val="00924358"/>
    <w:rsid w:val="00925975"/>
    <w:rsid w:val="009269EB"/>
    <w:rsid w:val="009275EF"/>
    <w:rsid w:val="009311C9"/>
    <w:rsid w:val="009311E6"/>
    <w:rsid w:val="00932093"/>
    <w:rsid w:val="00932676"/>
    <w:rsid w:val="0093412A"/>
    <w:rsid w:val="00934F46"/>
    <w:rsid w:val="00935C20"/>
    <w:rsid w:val="009364F2"/>
    <w:rsid w:val="00936DAB"/>
    <w:rsid w:val="0094010F"/>
    <w:rsid w:val="00940681"/>
    <w:rsid w:val="00943E69"/>
    <w:rsid w:val="009440E0"/>
    <w:rsid w:val="009454C8"/>
    <w:rsid w:val="009472FE"/>
    <w:rsid w:val="00947472"/>
    <w:rsid w:val="0094797A"/>
    <w:rsid w:val="00947DB9"/>
    <w:rsid w:val="0095006F"/>
    <w:rsid w:val="009501D5"/>
    <w:rsid w:val="0095079D"/>
    <w:rsid w:val="009536AF"/>
    <w:rsid w:val="00953CDD"/>
    <w:rsid w:val="00954247"/>
    <w:rsid w:val="009548DE"/>
    <w:rsid w:val="00956693"/>
    <w:rsid w:val="00956B41"/>
    <w:rsid w:val="0095799B"/>
    <w:rsid w:val="00957FB1"/>
    <w:rsid w:val="009602D3"/>
    <w:rsid w:val="00961ABC"/>
    <w:rsid w:val="009623E4"/>
    <w:rsid w:val="00962912"/>
    <w:rsid w:val="00963B72"/>
    <w:rsid w:val="00963BE3"/>
    <w:rsid w:val="00964819"/>
    <w:rsid w:val="009648BE"/>
    <w:rsid w:val="009651E0"/>
    <w:rsid w:val="009654D6"/>
    <w:rsid w:val="00965574"/>
    <w:rsid w:val="00965C25"/>
    <w:rsid w:val="0096614A"/>
    <w:rsid w:val="009666D4"/>
    <w:rsid w:val="00967611"/>
    <w:rsid w:val="00967629"/>
    <w:rsid w:val="009679FF"/>
    <w:rsid w:val="00967EE6"/>
    <w:rsid w:val="009712CB"/>
    <w:rsid w:val="009714F8"/>
    <w:rsid w:val="0097323C"/>
    <w:rsid w:val="00973371"/>
    <w:rsid w:val="009733EF"/>
    <w:rsid w:val="009736AF"/>
    <w:rsid w:val="00973F19"/>
    <w:rsid w:val="009740DE"/>
    <w:rsid w:val="009746A7"/>
    <w:rsid w:val="00974BDA"/>
    <w:rsid w:val="00975C20"/>
    <w:rsid w:val="009761CA"/>
    <w:rsid w:val="0097620B"/>
    <w:rsid w:val="009769C0"/>
    <w:rsid w:val="00977028"/>
    <w:rsid w:val="009779CF"/>
    <w:rsid w:val="00977DAC"/>
    <w:rsid w:val="0098084E"/>
    <w:rsid w:val="00981227"/>
    <w:rsid w:val="009812A8"/>
    <w:rsid w:val="009812E8"/>
    <w:rsid w:val="009812FE"/>
    <w:rsid w:val="00985B3B"/>
    <w:rsid w:val="00986478"/>
    <w:rsid w:val="00986853"/>
    <w:rsid w:val="00987373"/>
    <w:rsid w:val="0098765C"/>
    <w:rsid w:val="00990311"/>
    <w:rsid w:val="009904AD"/>
    <w:rsid w:val="00991375"/>
    <w:rsid w:val="00991456"/>
    <w:rsid w:val="0099249A"/>
    <w:rsid w:val="00992BA5"/>
    <w:rsid w:val="00992CBE"/>
    <w:rsid w:val="00993291"/>
    <w:rsid w:val="009935A0"/>
    <w:rsid w:val="00993DCD"/>
    <w:rsid w:val="0099522B"/>
    <w:rsid w:val="00995AC9"/>
    <w:rsid w:val="00995CA3"/>
    <w:rsid w:val="00995D74"/>
    <w:rsid w:val="00995F12"/>
    <w:rsid w:val="00996AF3"/>
    <w:rsid w:val="00996BBD"/>
    <w:rsid w:val="00997806"/>
    <w:rsid w:val="009A0248"/>
    <w:rsid w:val="009A053C"/>
    <w:rsid w:val="009A0750"/>
    <w:rsid w:val="009A0C83"/>
    <w:rsid w:val="009A139D"/>
    <w:rsid w:val="009A1CD2"/>
    <w:rsid w:val="009A3088"/>
    <w:rsid w:val="009A4564"/>
    <w:rsid w:val="009A4DE5"/>
    <w:rsid w:val="009A523E"/>
    <w:rsid w:val="009A53A3"/>
    <w:rsid w:val="009A603C"/>
    <w:rsid w:val="009B0D96"/>
    <w:rsid w:val="009B2384"/>
    <w:rsid w:val="009B3164"/>
    <w:rsid w:val="009B3726"/>
    <w:rsid w:val="009B3BC9"/>
    <w:rsid w:val="009B525D"/>
    <w:rsid w:val="009B613E"/>
    <w:rsid w:val="009B6969"/>
    <w:rsid w:val="009B70C1"/>
    <w:rsid w:val="009B7512"/>
    <w:rsid w:val="009B773F"/>
    <w:rsid w:val="009C0016"/>
    <w:rsid w:val="009C064E"/>
    <w:rsid w:val="009C0892"/>
    <w:rsid w:val="009C23C7"/>
    <w:rsid w:val="009C3340"/>
    <w:rsid w:val="009C3EF4"/>
    <w:rsid w:val="009C514C"/>
    <w:rsid w:val="009C65E3"/>
    <w:rsid w:val="009C7006"/>
    <w:rsid w:val="009C7AD0"/>
    <w:rsid w:val="009D0201"/>
    <w:rsid w:val="009D0584"/>
    <w:rsid w:val="009D0AD9"/>
    <w:rsid w:val="009D2355"/>
    <w:rsid w:val="009D26EE"/>
    <w:rsid w:val="009D32B8"/>
    <w:rsid w:val="009D3603"/>
    <w:rsid w:val="009D422F"/>
    <w:rsid w:val="009D4239"/>
    <w:rsid w:val="009D43BA"/>
    <w:rsid w:val="009D48C6"/>
    <w:rsid w:val="009E18E5"/>
    <w:rsid w:val="009E1ED0"/>
    <w:rsid w:val="009E5457"/>
    <w:rsid w:val="009E69F8"/>
    <w:rsid w:val="009E7C47"/>
    <w:rsid w:val="009F03AA"/>
    <w:rsid w:val="009F067B"/>
    <w:rsid w:val="009F4031"/>
    <w:rsid w:val="009F4117"/>
    <w:rsid w:val="009F41D4"/>
    <w:rsid w:val="009F46FB"/>
    <w:rsid w:val="009F4C57"/>
    <w:rsid w:val="009F4F5F"/>
    <w:rsid w:val="009F514F"/>
    <w:rsid w:val="009F548B"/>
    <w:rsid w:val="009F7259"/>
    <w:rsid w:val="009F7A93"/>
    <w:rsid w:val="009F7CE1"/>
    <w:rsid w:val="00A004EC"/>
    <w:rsid w:val="00A007AF"/>
    <w:rsid w:val="00A01418"/>
    <w:rsid w:val="00A01728"/>
    <w:rsid w:val="00A024C9"/>
    <w:rsid w:val="00A03665"/>
    <w:rsid w:val="00A05CE7"/>
    <w:rsid w:val="00A069D4"/>
    <w:rsid w:val="00A07086"/>
    <w:rsid w:val="00A07878"/>
    <w:rsid w:val="00A1024D"/>
    <w:rsid w:val="00A1079A"/>
    <w:rsid w:val="00A12261"/>
    <w:rsid w:val="00A13C5F"/>
    <w:rsid w:val="00A13DBB"/>
    <w:rsid w:val="00A14056"/>
    <w:rsid w:val="00A14FC8"/>
    <w:rsid w:val="00A151AA"/>
    <w:rsid w:val="00A158D0"/>
    <w:rsid w:val="00A16893"/>
    <w:rsid w:val="00A16C28"/>
    <w:rsid w:val="00A1793F"/>
    <w:rsid w:val="00A202B4"/>
    <w:rsid w:val="00A20F1B"/>
    <w:rsid w:val="00A2121E"/>
    <w:rsid w:val="00A220A0"/>
    <w:rsid w:val="00A220CE"/>
    <w:rsid w:val="00A223DD"/>
    <w:rsid w:val="00A2247B"/>
    <w:rsid w:val="00A22EA3"/>
    <w:rsid w:val="00A22F10"/>
    <w:rsid w:val="00A23963"/>
    <w:rsid w:val="00A23F51"/>
    <w:rsid w:val="00A3131D"/>
    <w:rsid w:val="00A34507"/>
    <w:rsid w:val="00A347ED"/>
    <w:rsid w:val="00A34CA3"/>
    <w:rsid w:val="00A350B9"/>
    <w:rsid w:val="00A359DB"/>
    <w:rsid w:val="00A35E6A"/>
    <w:rsid w:val="00A362A6"/>
    <w:rsid w:val="00A36BBE"/>
    <w:rsid w:val="00A36E68"/>
    <w:rsid w:val="00A37DC4"/>
    <w:rsid w:val="00A41974"/>
    <w:rsid w:val="00A429D7"/>
    <w:rsid w:val="00A45FD1"/>
    <w:rsid w:val="00A462D9"/>
    <w:rsid w:val="00A470FE"/>
    <w:rsid w:val="00A475C0"/>
    <w:rsid w:val="00A47CAD"/>
    <w:rsid w:val="00A5047C"/>
    <w:rsid w:val="00A52261"/>
    <w:rsid w:val="00A53845"/>
    <w:rsid w:val="00A538AB"/>
    <w:rsid w:val="00A553AE"/>
    <w:rsid w:val="00A55956"/>
    <w:rsid w:val="00A560E0"/>
    <w:rsid w:val="00A57672"/>
    <w:rsid w:val="00A60313"/>
    <w:rsid w:val="00A60557"/>
    <w:rsid w:val="00A623FC"/>
    <w:rsid w:val="00A64739"/>
    <w:rsid w:val="00A6641C"/>
    <w:rsid w:val="00A66E7C"/>
    <w:rsid w:val="00A679EC"/>
    <w:rsid w:val="00A70ED7"/>
    <w:rsid w:val="00A72404"/>
    <w:rsid w:val="00A724F8"/>
    <w:rsid w:val="00A73251"/>
    <w:rsid w:val="00A73E4F"/>
    <w:rsid w:val="00A750F5"/>
    <w:rsid w:val="00A7576C"/>
    <w:rsid w:val="00A75C58"/>
    <w:rsid w:val="00A800AC"/>
    <w:rsid w:val="00A80B29"/>
    <w:rsid w:val="00A81ED5"/>
    <w:rsid w:val="00A82A72"/>
    <w:rsid w:val="00A83D23"/>
    <w:rsid w:val="00A83EF0"/>
    <w:rsid w:val="00A84259"/>
    <w:rsid w:val="00A849E2"/>
    <w:rsid w:val="00A85326"/>
    <w:rsid w:val="00A85DE4"/>
    <w:rsid w:val="00A861F6"/>
    <w:rsid w:val="00A86434"/>
    <w:rsid w:val="00A86F3C"/>
    <w:rsid w:val="00A9102B"/>
    <w:rsid w:val="00A911BE"/>
    <w:rsid w:val="00A91D04"/>
    <w:rsid w:val="00A92C0F"/>
    <w:rsid w:val="00A943E2"/>
    <w:rsid w:val="00A95307"/>
    <w:rsid w:val="00A966CB"/>
    <w:rsid w:val="00A96704"/>
    <w:rsid w:val="00A974E7"/>
    <w:rsid w:val="00A97FE2"/>
    <w:rsid w:val="00AA1285"/>
    <w:rsid w:val="00AA3ACF"/>
    <w:rsid w:val="00AA433B"/>
    <w:rsid w:val="00AA4476"/>
    <w:rsid w:val="00AA49EF"/>
    <w:rsid w:val="00AA4D5D"/>
    <w:rsid w:val="00AA594F"/>
    <w:rsid w:val="00AA6820"/>
    <w:rsid w:val="00AA6FB1"/>
    <w:rsid w:val="00AB3231"/>
    <w:rsid w:val="00AB4569"/>
    <w:rsid w:val="00AB45E1"/>
    <w:rsid w:val="00AB4775"/>
    <w:rsid w:val="00AB4BDD"/>
    <w:rsid w:val="00AB4F93"/>
    <w:rsid w:val="00AB54AB"/>
    <w:rsid w:val="00AB6705"/>
    <w:rsid w:val="00AB6DB3"/>
    <w:rsid w:val="00AC0877"/>
    <w:rsid w:val="00AC0AA0"/>
    <w:rsid w:val="00AC0C68"/>
    <w:rsid w:val="00AC10C0"/>
    <w:rsid w:val="00AC1E0E"/>
    <w:rsid w:val="00AC52D2"/>
    <w:rsid w:val="00AC56F5"/>
    <w:rsid w:val="00AC5AC1"/>
    <w:rsid w:val="00AC5B45"/>
    <w:rsid w:val="00AC609F"/>
    <w:rsid w:val="00AD0359"/>
    <w:rsid w:val="00AD0889"/>
    <w:rsid w:val="00AD0AA2"/>
    <w:rsid w:val="00AD1934"/>
    <w:rsid w:val="00AD1B2A"/>
    <w:rsid w:val="00AD239D"/>
    <w:rsid w:val="00AD3B72"/>
    <w:rsid w:val="00AD3EDE"/>
    <w:rsid w:val="00AD5CC9"/>
    <w:rsid w:val="00AD7B81"/>
    <w:rsid w:val="00AD7C36"/>
    <w:rsid w:val="00AD7F33"/>
    <w:rsid w:val="00AE041A"/>
    <w:rsid w:val="00AE0CA1"/>
    <w:rsid w:val="00AE219B"/>
    <w:rsid w:val="00AE22F7"/>
    <w:rsid w:val="00AE2D48"/>
    <w:rsid w:val="00AE37E3"/>
    <w:rsid w:val="00AE399B"/>
    <w:rsid w:val="00AE58C0"/>
    <w:rsid w:val="00AE69DA"/>
    <w:rsid w:val="00AE72A1"/>
    <w:rsid w:val="00AE75DA"/>
    <w:rsid w:val="00AE7ACA"/>
    <w:rsid w:val="00AF1744"/>
    <w:rsid w:val="00AF2BC2"/>
    <w:rsid w:val="00AF3331"/>
    <w:rsid w:val="00AF343A"/>
    <w:rsid w:val="00AF44ED"/>
    <w:rsid w:val="00AF4777"/>
    <w:rsid w:val="00AF5779"/>
    <w:rsid w:val="00AF62B7"/>
    <w:rsid w:val="00AF71B2"/>
    <w:rsid w:val="00B00031"/>
    <w:rsid w:val="00B01C7C"/>
    <w:rsid w:val="00B03D17"/>
    <w:rsid w:val="00B058D3"/>
    <w:rsid w:val="00B05DF3"/>
    <w:rsid w:val="00B064A4"/>
    <w:rsid w:val="00B06855"/>
    <w:rsid w:val="00B06CFE"/>
    <w:rsid w:val="00B07826"/>
    <w:rsid w:val="00B10E17"/>
    <w:rsid w:val="00B119E4"/>
    <w:rsid w:val="00B11D27"/>
    <w:rsid w:val="00B129C8"/>
    <w:rsid w:val="00B13814"/>
    <w:rsid w:val="00B14483"/>
    <w:rsid w:val="00B15372"/>
    <w:rsid w:val="00B15717"/>
    <w:rsid w:val="00B1704F"/>
    <w:rsid w:val="00B17174"/>
    <w:rsid w:val="00B176EC"/>
    <w:rsid w:val="00B20918"/>
    <w:rsid w:val="00B2120D"/>
    <w:rsid w:val="00B21924"/>
    <w:rsid w:val="00B21BC7"/>
    <w:rsid w:val="00B21CF3"/>
    <w:rsid w:val="00B224CE"/>
    <w:rsid w:val="00B23440"/>
    <w:rsid w:val="00B23B68"/>
    <w:rsid w:val="00B24E8E"/>
    <w:rsid w:val="00B24FED"/>
    <w:rsid w:val="00B255F7"/>
    <w:rsid w:val="00B256E4"/>
    <w:rsid w:val="00B27BF3"/>
    <w:rsid w:val="00B30388"/>
    <w:rsid w:val="00B33424"/>
    <w:rsid w:val="00B33E6B"/>
    <w:rsid w:val="00B34033"/>
    <w:rsid w:val="00B34F55"/>
    <w:rsid w:val="00B35874"/>
    <w:rsid w:val="00B35BD0"/>
    <w:rsid w:val="00B35BD5"/>
    <w:rsid w:val="00B36004"/>
    <w:rsid w:val="00B37C84"/>
    <w:rsid w:val="00B4084B"/>
    <w:rsid w:val="00B4144A"/>
    <w:rsid w:val="00B416C9"/>
    <w:rsid w:val="00B423A5"/>
    <w:rsid w:val="00B42F24"/>
    <w:rsid w:val="00B43FA9"/>
    <w:rsid w:val="00B4409B"/>
    <w:rsid w:val="00B45619"/>
    <w:rsid w:val="00B46624"/>
    <w:rsid w:val="00B46662"/>
    <w:rsid w:val="00B46B8F"/>
    <w:rsid w:val="00B46C81"/>
    <w:rsid w:val="00B46EEB"/>
    <w:rsid w:val="00B47047"/>
    <w:rsid w:val="00B477D4"/>
    <w:rsid w:val="00B505F5"/>
    <w:rsid w:val="00B51BB4"/>
    <w:rsid w:val="00B5229C"/>
    <w:rsid w:val="00B52A50"/>
    <w:rsid w:val="00B542C7"/>
    <w:rsid w:val="00B55207"/>
    <w:rsid w:val="00B555DA"/>
    <w:rsid w:val="00B56E55"/>
    <w:rsid w:val="00B57031"/>
    <w:rsid w:val="00B57043"/>
    <w:rsid w:val="00B5737E"/>
    <w:rsid w:val="00B57A5F"/>
    <w:rsid w:val="00B62C71"/>
    <w:rsid w:val="00B6356C"/>
    <w:rsid w:val="00B638B2"/>
    <w:rsid w:val="00B639DD"/>
    <w:rsid w:val="00B652E0"/>
    <w:rsid w:val="00B669E7"/>
    <w:rsid w:val="00B673E5"/>
    <w:rsid w:val="00B70350"/>
    <w:rsid w:val="00B723B0"/>
    <w:rsid w:val="00B726A5"/>
    <w:rsid w:val="00B73CD9"/>
    <w:rsid w:val="00B742BF"/>
    <w:rsid w:val="00B74FC2"/>
    <w:rsid w:val="00B76AE5"/>
    <w:rsid w:val="00B77B2E"/>
    <w:rsid w:val="00B8056E"/>
    <w:rsid w:val="00B811DC"/>
    <w:rsid w:val="00B81395"/>
    <w:rsid w:val="00B81921"/>
    <w:rsid w:val="00B82149"/>
    <w:rsid w:val="00B83403"/>
    <w:rsid w:val="00B8367D"/>
    <w:rsid w:val="00B846E7"/>
    <w:rsid w:val="00B8510E"/>
    <w:rsid w:val="00B85881"/>
    <w:rsid w:val="00B86F6A"/>
    <w:rsid w:val="00B87E26"/>
    <w:rsid w:val="00B934F2"/>
    <w:rsid w:val="00B93FDF"/>
    <w:rsid w:val="00B94D14"/>
    <w:rsid w:val="00B951D5"/>
    <w:rsid w:val="00B96598"/>
    <w:rsid w:val="00B96841"/>
    <w:rsid w:val="00B9721F"/>
    <w:rsid w:val="00B9784D"/>
    <w:rsid w:val="00B978D5"/>
    <w:rsid w:val="00B9795A"/>
    <w:rsid w:val="00BA05C4"/>
    <w:rsid w:val="00BA0F8B"/>
    <w:rsid w:val="00BA16C8"/>
    <w:rsid w:val="00BA4492"/>
    <w:rsid w:val="00BA6800"/>
    <w:rsid w:val="00BA7478"/>
    <w:rsid w:val="00BA77DF"/>
    <w:rsid w:val="00BA792E"/>
    <w:rsid w:val="00BA7F10"/>
    <w:rsid w:val="00BB12CA"/>
    <w:rsid w:val="00BB1378"/>
    <w:rsid w:val="00BB167B"/>
    <w:rsid w:val="00BB3060"/>
    <w:rsid w:val="00BB3B40"/>
    <w:rsid w:val="00BB4C95"/>
    <w:rsid w:val="00BB4DB4"/>
    <w:rsid w:val="00BB4DD0"/>
    <w:rsid w:val="00BB5B4C"/>
    <w:rsid w:val="00BB647A"/>
    <w:rsid w:val="00BB6604"/>
    <w:rsid w:val="00BB6806"/>
    <w:rsid w:val="00BB7BC2"/>
    <w:rsid w:val="00BC2515"/>
    <w:rsid w:val="00BC268F"/>
    <w:rsid w:val="00BC28C8"/>
    <w:rsid w:val="00BC2970"/>
    <w:rsid w:val="00BC35A5"/>
    <w:rsid w:val="00BC3A3F"/>
    <w:rsid w:val="00BC3BC6"/>
    <w:rsid w:val="00BC4814"/>
    <w:rsid w:val="00BC4CFB"/>
    <w:rsid w:val="00BC512C"/>
    <w:rsid w:val="00BC58A9"/>
    <w:rsid w:val="00BC673B"/>
    <w:rsid w:val="00BC6DA3"/>
    <w:rsid w:val="00BC78B4"/>
    <w:rsid w:val="00BC7A7A"/>
    <w:rsid w:val="00BD0391"/>
    <w:rsid w:val="00BD0DD8"/>
    <w:rsid w:val="00BD1836"/>
    <w:rsid w:val="00BD189C"/>
    <w:rsid w:val="00BD211D"/>
    <w:rsid w:val="00BD26E0"/>
    <w:rsid w:val="00BD2C3D"/>
    <w:rsid w:val="00BD2CF9"/>
    <w:rsid w:val="00BD3138"/>
    <w:rsid w:val="00BD34FF"/>
    <w:rsid w:val="00BD3FCF"/>
    <w:rsid w:val="00BD494D"/>
    <w:rsid w:val="00BD55A7"/>
    <w:rsid w:val="00BD5775"/>
    <w:rsid w:val="00BD5BF7"/>
    <w:rsid w:val="00BD64AA"/>
    <w:rsid w:val="00BD65F7"/>
    <w:rsid w:val="00BD6B43"/>
    <w:rsid w:val="00BE044D"/>
    <w:rsid w:val="00BE0CC7"/>
    <w:rsid w:val="00BE1320"/>
    <w:rsid w:val="00BE164B"/>
    <w:rsid w:val="00BE223E"/>
    <w:rsid w:val="00BE46F6"/>
    <w:rsid w:val="00BE4F59"/>
    <w:rsid w:val="00BE5191"/>
    <w:rsid w:val="00BE62BF"/>
    <w:rsid w:val="00BE6A37"/>
    <w:rsid w:val="00BE76E4"/>
    <w:rsid w:val="00BE7BDD"/>
    <w:rsid w:val="00BF05B7"/>
    <w:rsid w:val="00BF13D9"/>
    <w:rsid w:val="00BF1623"/>
    <w:rsid w:val="00BF3C35"/>
    <w:rsid w:val="00BF632E"/>
    <w:rsid w:val="00BF7964"/>
    <w:rsid w:val="00BF7D42"/>
    <w:rsid w:val="00BF7FC7"/>
    <w:rsid w:val="00C0009C"/>
    <w:rsid w:val="00C0093A"/>
    <w:rsid w:val="00C00D07"/>
    <w:rsid w:val="00C00D4F"/>
    <w:rsid w:val="00C00DAC"/>
    <w:rsid w:val="00C011F9"/>
    <w:rsid w:val="00C01795"/>
    <w:rsid w:val="00C0210E"/>
    <w:rsid w:val="00C02209"/>
    <w:rsid w:val="00C03756"/>
    <w:rsid w:val="00C03DBA"/>
    <w:rsid w:val="00C05D55"/>
    <w:rsid w:val="00C0750A"/>
    <w:rsid w:val="00C1020D"/>
    <w:rsid w:val="00C107A3"/>
    <w:rsid w:val="00C111E0"/>
    <w:rsid w:val="00C11C74"/>
    <w:rsid w:val="00C1204B"/>
    <w:rsid w:val="00C12713"/>
    <w:rsid w:val="00C12995"/>
    <w:rsid w:val="00C129E6"/>
    <w:rsid w:val="00C134E5"/>
    <w:rsid w:val="00C13B6D"/>
    <w:rsid w:val="00C13BA9"/>
    <w:rsid w:val="00C14BD8"/>
    <w:rsid w:val="00C15BD3"/>
    <w:rsid w:val="00C16593"/>
    <w:rsid w:val="00C165B0"/>
    <w:rsid w:val="00C16A4C"/>
    <w:rsid w:val="00C176F3"/>
    <w:rsid w:val="00C225AB"/>
    <w:rsid w:val="00C22ABA"/>
    <w:rsid w:val="00C22C9B"/>
    <w:rsid w:val="00C23070"/>
    <w:rsid w:val="00C235F8"/>
    <w:rsid w:val="00C2365D"/>
    <w:rsid w:val="00C23789"/>
    <w:rsid w:val="00C24F38"/>
    <w:rsid w:val="00C252E0"/>
    <w:rsid w:val="00C2533B"/>
    <w:rsid w:val="00C25775"/>
    <w:rsid w:val="00C26CA2"/>
    <w:rsid w:val="00C26D74"/>
    <w:rsid w:val="00C27774"/>
    <w:rsid w:val="00C27CAA"/>
    <w:rsid w:val="00C309A0"/>
    <w:rsid w:val="00C3193A"/>
    <w:rsid w:val="00C3278E"/>
    <w:rsid w:val="00C3289A"/>
    <w:rsid w:val="00C32FEE"/>
    <w:rsid w:val="00C334E9"/>
    <w:rsid w:val="00C335D9"/>
    <w:rsid w:val="00C340B3"/>
    <w:rsid w:val="00C348CB"/>
    <w:rsid w:val="00C3490D"/>
    <w:rsid w:val="00C36E7C"/>
    <w:rsid w:val="00C37577"/>
    <w:rsid w:val="00C37F7A"/>
    <w:rsid w:val="00C40F0D"/>
    <w:rsid w:val="00C417A0"/>
    <w:rsid w:val="00C426B4"/>
    <w:rsid w:val="00C43DD7"/>
    <w:rsid w:val="00C44E1D"/>
    <w:rsid w:val="00C47BC3"/>
    <w:rsid w:val="00C47BF1"/>
    <w:rsid w:val="00C50EA3"/>
    <w:rsid w:val="00C51419"/>
    <w:rsid w:val="00C5263F"/>
    <w:rsid w:val="00C5291F"/>
    <w:rsid w:val="00C530C4"/>
    <w:rsid w:val="00C538C1"/>
    <w:rsid w:val="00C53BA6"/>
    <w:rsid w:val="00C54C82"/>
    <w:rsid w:val="00C56544"/>
    <w:rsid w:val="00C57B0A"/>
    <w:rsid w:val="00C60604"/>
    <w:rsid w:val="00C61332"/>
    <w:rsid w:val="00C619E3"/>
    <w:rsid w:val="00C61DE3"/>
    <w:rsid w:val="00C621E8"/>
    <w:rsid w:val="00C6239A"/>
    <w:rsid w:val="00C62EC8"/>
    <w:rsid w:val="00C632AB"/>
    <w:rsid w:val="00C63A91"/>
    <w:rsid w:val="00C63F5F"/>
    <w:rsid w:val="00C64927"/>
    <w:rsid w:val="00C64999"/>
    <w:rsid w:val="00C64CB4"/>
    <w:rsid w:val="00C650A8"/>
    <w:rsid w:val="00C652BE"/>
    <w:rsid w:val="00C652F7"/>
    <w:rsid w:val="00C65E74"/>
    <w:rsid w:val="00C66A5E"/>
    <w:rsid w:val="00C7005D"/>
    <w:rsid w:val="00C708EB"/>
    <w:rsid w:val="00C71132"/>
    <w:rsid w:val="00C71A6A"/>
    <w:rsid w:val="00C71CBE"/>
    <w:rsid w:val="00C7225A"/>
    <w:rsid w:val="00C72C1E"/>
    <w:rsid w:val="00C72E71"/>
    <w:rsid w:val="00C73D2D"/>
    <w:rsid w:val="00C7450A"/>
    <w:rsid w:val="00C7503F"/>
    <w:rsid w:val="00C7568F"/>
    <w:rsid w:val="00C779B7"/>
    <w:rsid w:val="00C77F60"/>
    <w:rsid w:val="00C80319"/>
    <w:rsid w:val="00C80627"/>
    <w:rsid w:val="00C80C8D"/>
    <w:rsid w:val="00C81A3E"/>
    <w:rsid w:val="00C81DAE"/>
    <w:rsid w:val="00C81FF6"/>
    <w:rsid w:val="00C83675"/>
    <w:rsid w:val="00C83EC7"/>
    <w:rsid w:val="00C84F67"/>
    <w:rsid w:val="00C8564C"/>
    <w:rsid w:val="00C85B1C"/>
    <w:rsid w:val="00C8629C"/>
    <w:rsid w:val="00C90007"/>
    <w:rsid w:val="00C90A07"/>
    <w:rsid w:val="00C9106A"/>
    <w:rsid w:val="00C92A41"/>
    <w:rsid w:val="00C9413E"/>
    <w:rsid w:val="00C96BA7"/>
    <w:rsid w:val="00C977CF"/>
    <w:rsid w:val="00C97CCC"/>
    <w:rsid w:val="00C97E8B"/>
    <w:rsid w:val="00CA01F5"/>
    <w:rsid w:val="00CA0525"/>
    <w:rsid w:val="00CA08B6"/>
    <w:rsid w:val="00CA0BB5"/>
    <w:rsid w:val="00CA0C93"/>
    <w:rsid w:val="00CA1205"/>
    <w:rsid w:val="00CA1BD0"/>
    <w:rsid w:val="00CA1CDE"/>
    <w:rsid w:val="00CA2252"/>
    <w:rsid w:val="00CA324B"/>
    <w:rsid w:val="00CA408C"/>
    <w:rsid w:val="00CA4200"/>
    <w:rsid w:val="00CA42D4"/>
    <w:rsid w:val="00CA4D7B"/>
    <w:rsid w:val="00CA7662"/>
    <w:rsid w:val="00CA7678"/>
    <w:rsid w:val="00CA7B57"/>
    <w:rsid w:val="00CB0055"/>
    <w:rsid w:val="00CB0EA7"/>
    <w:rsid w:val="00CB131B"/>
    <w:rsid w:val="00CB1F16"/>
    <w:rsid w:val="00CB2740"/>
    <w:rsid w:val="00CB2ABF"/>
    <w:rsid w:val="00CB2E4E"/>
    <w:rsid w:val="00CB36BC"/>
    <w:rsid w:val="00CB4DB9"/>
    <w:rsid w:val="00CB6300"/>
    <w:rsid w:val="00CC0BF9"/>
    <w:rsid w:val="00CC15DC"/>
    <w:rsid w:val="00CC427B"/>
    <w:rsid w:val="00CC4DBD"/>
    <w:rsid w:val="00CC738C"/>
    <w:rsid w:val="00CC74C9"/>
    <w:rsid w:val="00CD07C0"/>
    <w:rsid w:val="00CD0B09"/>
    <w:rsid w:val="00CD1C1F"/>
    <w:rsid w:val="00CD27E4"/>
    <w:rsid w:val="00CD3A2C"/>
    <w:rsid w:val="00CD3F36"/>
    <w:rsid w:val="00CD5201"/>
    <w:rsid w:val="00CD52D4"/>
    <w:rsid w:val="00CD5310"/>
    <w:rsid w:val="00CD5379"/>
    <w:rsid w:val="00CD5EF8"/>
    <w:rsid w:val="00CD630D"/>
    <w:rsid w:val="00CD6889"/>
    <w:rsid w:val="00CD6E29"/>
    <w:rsid w:val="00CD6FD5"/>
    <w:rsid w:val="00CD75CA"/>
    <w:rsid w:val="00CE0159"/>
    <w:rsid w:val="00CE1488"/>
    <w:rsid w:val="00CE1E79"/>
    <w:rsid w:val="00CE25FD"/>
    <w:rsid w:val="00CE281E"/>
    <w:rsid w:val="00CE52E1"/>
    <w:rsid w:val="00CE656A"/>
    <w:rsid w:val="00CE7648"/>
    <w:rsid w:val="00CF0F2D"/>
    <w:rsid w:val="00CF2108"/>
    <w:rsid w:val="00CF265C"/>
    <w:rsid w:val="00CF3AEF"/>
    <w:rsid w:val="00CF6CAA"/>
    <w:rsid w:val="00CF7131"/>
    <w:rsid w:val="00CF7B36"/>
    <w:rsid w:val="00D00512"/>
    <w:rsid w:val="00D00D80"/>
    <w:rsid w:val="00D00F86"/>
    <w:rsid w:val="00D018FB"/>
    <w:rsid w:val="00D01940"/>
    <w:rsid w:val="00D01C71"/>
    <w:rsid w:val="00D02E78"/>
    <w:rsid w:val="00D036A5"/>
    <w:rsid w:val="00D0374A"/>
    <w:rsid w:val="00D03EA0"/>
    <w:rsid w:val="00D044A2"/>
    <w:rsid w:val="00D0462C"/>
    <w:rsid w:val="00D05152"/>
    <w:rsid w:val="00D063D6"/>
    <w:rsid w:val="00D06930"/>
    <w:rsid w:val="00D06D17"/>
    <w:rsid w:val="00D07F46"/>
    <w:rsid w:val="00D1034A"/>
    <w:rsid w:val="00D10E3F"/>
    <w:rsid w:val="00D11427"/>
    <w:rsid w:val="00D119C1"/>
    <w:rsid w:val="00D13C18"/>
    <w:rsid w:val="00D142C7"/>
    <w:rsid w:val="00D14D27"/>
    <w:rsid w:val="00D14DE2"/>
    <w:rsid w:val="00D15206"/>
    <w:rsid w:val="00D1530C"/>
    <w:rsid w:val="00D15459"/>
    <w:rsid w:val="00D1599C"/>
    <w:rsid w:val="00D15E65"/>
    <w:rsid w:val="00D1724B"/>
    <w:rsid w:val="00D17556"/>
    <w:rsid w:val="00D20847"/>
    <w:rsid w:val="00D21B76"/>
    <w:rsid w:val="00D21E07"/>
    <w:rsid w:val="00D223D9"/>
    <w:rsid w:val="00D2241E"/>
    <w:rsid w:val="00D22745"/>
    <w:rsid w:val="00D22915"/>
    <w:rsid w:val="00D23191"/>
    <w:rsid w:val="00D240EF"/>
    <w:rsid w:val="00D24425"/>
    <w:rsid w:val="00D24DEC"/>
    <w:rsid w:val="00D26051"/>
    <w:rsid w:val="00D265FB"/>
    <w:rsid w:val="00D269F3"/>
    <w:rsid w:val="00D271F8"/>
    <w:rsid w:val="00D27335"/>
    <w:rsid w:val="00D30FB9"/>
    <w:rsid w:val="00D312DF"/>
    <w:rsid w:val="00D31CD9"/>
    <w:rsid w:val="00D32BE3"/>
    <w:rsid w:val="00D3460E"/>
    <w:rsid w:val="00D35ABD"/>
    <w:rsid w:val="00D3668A"/>
    <w:rsid w:val="00D368B5"/>
    <w:rsid w:val="00D36E2E"/>
    <w:rsid w:val="00D3745C"/>
    <w:rsid w:val="00D401D6"/>
    <w:rsid w:val="00D402E8"/>
    <w:rsid w:val="00D4044B"/>
    <w:rsid w:val="00D41788"/>
    <w:rsid w:val="00D4186B"/>
    <w:rsid w:val="00D42470"/>
    <w:rsid w:val="00D42CD1"/>
    <w:rsid w:val="00D42EDD"/>
    <w:rsid w:val="00D42F20"/>
    <w:rsid w:val="00D4312A"/>
    <w:rsid w:val="00D455B6"/>
    <w:rsid w:val="00D455EE"/>
    <w:rsid w:val="00D4567A"/>
    <w:rsid w:val="00D45D59"/>
    <w:rsid w:val="00D466A7"/>
    <w:rsid w:val="00D47661"/>
    <w:rsid w:val="00D476D6"/>
    <w:rsid w:val="00D522E2"/>
    <w:rsid w:val="00D52E61"/>
    <w:rsid w:val="00D53448"/>
    <w:rsid w:val="00D5438E"/>
    <w:rsid w:val="00D5451B"/>
    <w:rsid w:val="00D56094"/>
    <w:rsid w:val="00D56342"/>
    <w:rsid w:val="00D56E8A"/>
    <w:rsid w:val="00D573A7"/>
    <w:rsid w:val="00D6020B"/>
    <w:rsid w:val="00D609C7"/>
    <w:rsid w:val="00D61CAB"/>
    <w:rsid w:val="00D61FFB"/>
    <w:rsid w:val="00D62BAC"/>
    <w:rsid w:val="00D63410"/>
    <w:rsid w:val="00D64CD2"/>
    <w:rsid w:val="00D65227"/>
    <w:rsid w:val="00D652E2"/>
    <w:rsid w:val="00D66024"/>
    <w:rsid w:val="00D66304"/>
    <w:rsid w:val="00D66881"/>
    <w:rsid w:val="00D672B0"/>
    <w:rsid w:val="00D70F9E"/>
    <w:rsid w:val="00D720DA"/>
    <w:rsid w:val="00D7329B"/>
    <w:rsid w:val="00D74116"/>
    <w:rsid w:val="00D74E81"/>
    <w:rsid w:val="00D75412"/>
    <w:rsid w:val="00D754B8"/>
    <w:rsid w:val="00D779A3"/>
    <w:rsid w:val="00D80A35"/>
    <w:rsid w:val="00D80CAF"/>
    <w:rsid w:val="00D81C61"/>
    <w:rsid w:val="00D82E79"/>
    <w:rsid w:val="00D8378C"/>
    <w:rsid w:val="00D838E2"/>
    <w:rsid w:val="00D83B35"/>
    <w:rsid w:val="00D8435F"/>
    <w:rsid w:val="00D845FC"/>
    <w:rsid w:val="00D84C47"/>
    <w:rsid w:val="00D84D5C"/>
    <w:rsid w:val="00D84EA0"/>
    <w:rsid w:val="00D86638"/>
    <w:rsid w:val="00D86CB3"/>
    <w:rsid w:val="00D906F0"/>
    <w:rsid w:val="00D9138D"/>
    <w:rsid w:val="00D9267F"/>
    <w:rsid w:val="00D92D16"/>
    <w:rsid w:val="00D93DFB"/>
    <w:rsid w:val="00D94415"/>
    <w:rsid w:val="00D94E25"/>
    <w:rsid w:val="00D94F7C"/>
    <w:rsid w:val="00D9586C"/>
    <w:rsid w:val="00D95AB4"/>
    <w:rsid w:val="00D970EA"/>
    <w:rsid w:val="00D97D4B"/>
    <w:rsid w:val="00DA0A2E"/>
    <w:rsid w:val="00DA168F"/>
    <w:rsid w:val="00DA2536"/>
    <w:rsid w:val="00DA2A2A"/>
    <w:rsid w:val="00DA3DFF"/>
    <w:rsid w:val="00DA4A36"/>
    <w:rsid w:val="00DA502E"/>
    <w:rsid w:val="00DA5BA6"/>
    <w:rsid w:val="00DA5C11"/>
    <w:rsid w:val="00DA72BD"/>
    <w:rsid w:val="00DA7E0A"/>
    <w:rsid w:val="00DB110A"/>
    <w:rsid w:val="00DB248E"/>
    <w:rsid w:val="00DB3C25"/>
    <w:rsid w:val="00DB4168"/>
    <w:rsid w:val="00DB57D1"/>
    <w:rsid w:val="00DB5D11"/>
    <w:rsid w:val="00DB5E96"/>
    <w:rsid w:val="00DB629D"/>
    <w:rsid w:val="00DB6DFE"/>
    <w:rsid w:val="00DB779E"/>
    <w:rsid w:val="00DB77DF"/>
    <w:rsid w:val="00DB7D93"/>
    <w:rsid w:val="00DC0038"/>
    <w:rsid w:val="00DC0155"/>
    <w:rsid w:val="00DC16F2"/>
    <w:rsid w:val="00DC3D7D"/>
    <w:rsid w:val="00DC41DF"/>
    <w:rsid w:val="00DC4552"/>
    <w:rsid w:val="00DC4692"/>
    <w:rsid w:val="00DC4921"/>
    <w:rsid w:val="00DC679B"/>
    <w:rsid w:val="00DC7673"/>
    <w:rsid w:val="00DC7EA8"/>
    <w:rsid w:val="00DD0DCE"/>
    <w:rsid w:val="00DD166E"/>
    <w:rsid w:val="00DD1C4B"/>
    <w:rsid w:val="00DD28DF"/>
    <w:rsid w:val="00DD2B6C"/>
    <w:rsid w:val="00DD3187"/>
    <w:rsid w:val="00DD3C9A"/>
    <w:rsid w:val="00DD3E9E"/>
    <w:rsid w:val="00DD5EDA"/>
    <w:rsid w:val="00DD683D"/>
    <w:rsid w:val="00DD6B09"/>
    <w:rsid w:val="00DD6B39"/>
    <w:rsid w:val="00DD7A9D"/>
    <w:rsid w:val="00DD7DB0"/>
    <w:rsid w:val="00DE1179"/>
    <w:rsid w:val="00DE2B63"/>
    <w:rsid w:val="00DE3A2C"/>
    <w:rsid w:val="00DE4489"/>
    <w:rsid w:val="00DE5304"/>
    <w:rsid w:val="00DE5F37"/>
    <w:rsid w:val="00DE6438"/>
    <w:rsid w:val="00DE6BA9"/>
    <w:rsid w:val="00DE6C9D"/>
    <w:rsid w:val="00DE6CA4"/>
    <w:rsid w:val="00DF0E3E"/>
    <w:rsid w:val="00DF180F"/>
    <w:rsid w:val="00DF2705"/>
    <w:rsid w:val="00DF2706"/>
    <w:rsid w:val="00DF2C5F"/>
    <w:rsid w:val="00DF3780"/>
    <w:rsid w:val="00DF545E"/>
    <w:rsid w:val="00DF59FC"/>
    <w:rsid w:val="00DF5FC1"/>
    <w:rsid w:val="00DF71E3"/>
    <w:rsid w:val="00DF728E"/>
    <w:rsid w:val="00DF7685"/>
    <w:rsid w:val="00DF778F"/>
    <w:rsid w:val="00E00380"/>
    <w:rsid w:val="00E01822"/>
    <w:rsid w:val="00E01E0F"/>
    <w:rsid w:val="00E02931"/>
    <w:rsid w:val="00E03648"/>
    <w:rsid w:val="00E0380B"/>
    <w:rsid w:val="00E03D8C"/>
    <w:rsid w:val="00E03DBD"/>
    <w:rsid w:val="00E03FAE"/>
    <w:rsid w:val="00E045E0"/>
    <w:rsid w:val="00E06891"/>
    <w:rsid w:val="00E06D61"/>
    <w:rsid w:val="00E079FE"/>
    <w:rsid w:val="00E12738"/>
    <w:rsid w:val="00E128CC"/>
    <w:rsid w:val="00E12B1B"/>
    <w:rsid w:val="00E14833"/>
    <w:rsid w:val="00E1643E"/>
    <w:rsid w:val="00E17168"/>
    <w:rsid w:val="00E1730F"/>
    <w:rsid w:val="00E2071F"/>
    <w:rsid w:val="00E209F9"/>
    <w:rsid w:val="00E20C96"/>
    <w:rsid w:val="00E21ED2"/>
    <w:rsid w:val="00E22CA5"/>
    <w:rsid w:val="00E238C0"/>
    <w:rsid w:val="00E25A53"/>
    <w:rsid w:val="00E25B89"/>
    <w:rsid w:val="00E266A4"/>
    <w:rsid w:val="00E27ADD"/>
    <w:rsid w:val="00E307C1"/>
    <w:rsid w:val="00E31F75"/>
    <w:rsid w:val="00E32683"/>
    <w:rsid w:val="00E32BA0"/>
    <w:rsid w:val="00E32C3D"/>
    <w:rsid w:val="00E33B1D"/>
    <w:rsid w:val="00E3425A"/>
    <w:rsid w:val="00E342AA"/>
    <w:rsid w:val="00E36DDF"/>
    <w:rsid w:val="00E36DF5"/>
    <w:rsid w:val="00E36F41"/>
    <w:rsid w:val="00E379BA"/>
    <w:rsid w:val="00E40A85"/>
    <w:rsid w:val="00E40FFF"/>
    <w:rsid w:val="00E41A9A"/>
    <w:rsid w:val="00E41D90"/>
    <w:rsid w:val="00E42B2E"/>
    <w:rsid w:val="00E440A3"/>
    <w:rsid w:val="00E44619"/>
    <w:rsid w:val="00E44D5B"/>
    <w:rsid w:val="00E44E2F"/>
    <w:rsid w:val="00E46D48"/>
    <w:rsid w:val="00E46E6C"/>
    <w:rsid w:val="00E46F73"/>
    <w:rsid w:val="00E5107C"/>
    <w:rsid w:val="00E51C4B"/>
    <w:rsid w:val="00E53A51"/>
    <w:rsid w:val="00E542C0"/>
    <w:rsid w:val="00E54549"/>
    <w:rsid w:val="00E5469B"/>
    <w:rsid w:val="00E56416"/>
    <w:rsid w:val="00E5771B"/>
    <w:rsid w:val="00E57C6D"/>
    <w:rsid w:val="00E61ADE"/>
    <w:rsid w:val="00E61EF3"/>
    <w:rsid w:val="00E6210D"/>
    <w:rsid w:val="00E643B1"/>
    <w:rsid w:val="00E651F4"/>
    <w:rsid w:val="00E65529"/>
    <w:rsid w:val="00E6601C"/>
    <w:rsid w:val="00E67ED5"/>
    <w:rsid w:val="00E70805"/>
    <w:rsid w:val="00E7090D"/>
    <w:rsid w:val="00E72D73"/>
    <w:rsid w:val="00E7301D"/>
    <w:rsid w:val="00E74575"/>
    <w:rsid w:val="00E74BE8"/>
    <w:rsid w:val="00E755B4"/>
    <w:rsid w:val="00E7659B"/>
    <w:rsid w:val="00E77612"/>
    <w:rsid w:val="00E80650"/>
    <w:rsid w:val="00E80D77"/>
    <w:rsid w:val="00E82C9C"/>
    <w:rsid w:val="00E83432"/>
    <w:rsid w:val="00E83763"/>
    <w:rsid w:val="00E84066"/>
    <w:rsid w:val="00E851E7"/>
    <w:rsid w:val="00E86573"/>
    <w:rsid w:val="00E87038"/>
    <w:rsid w:val="00E91EAC"/>
    <w:rsid w:val="00E91F66"/>
    <w:rsid w:val="00E9206E"/>
    <w:rsid w:val="00E92AFD"/>
    <w:rsid w:val="00E93A56"/>
    <w:rsid w:val="00E93EC8"/>
    <w:rsid w:val="00E94072"/>
    <w:rsid w:val="00E96A96"/>
    <w:rsid w:val="00E96BC3"/>
    <w:rsid w:val="00E97099"/>
    <w:rsid w:val="00E9733F"/>
    <w:rsid w:val="00E9788B"/>
    <w:rsid w:val="00E97C9A"/>
    <w:rsid w:val="00EA015F"/>
    <w:rsid w:val="00EA01D9"/>
    <w:rsid w:val="00EA06E2"/>
    <w:rsid w:val="00EA0C32"/>
    <w:rsid w:val="00EA26AA"/>
    <w:rsid w:val="00EA2900"/>
    <w:rsid w:val="00EA2CBD"/>
    <w:rsid w:val="00EA2E72"/>
    <w:rsid w:val="00EA3BFF"/>
    <w:rsid w:val="00EA4A23"/>
    <w:rsid w:val="00EA691E"/>
    <w:rsid w:val="00EA7963"/>
    <w:rsid w:val="00EA7BDB"/>
    <w:rsid w:val="00EB0BB9"/>
    <w:rsid w:val="00EB0C2C"/>
    <w:rsid w:val="00EB0D83"/>
    <w:rsid w:val="00EB16C8"/>
    <w:rsid w:val="00EB28D0"/>
    <w:rsid w:val="00EB36ED"/>
    <w:rsid w:val="00EB392C"/>
    <w:rsid w:val="00EB3976"/>
    <w:rsid w:val="00EB5003"/>
    <w:rsid w:val="00EB557C"/>
    <w:rsid w:val="00EB5692"/>
    <w:rsid w:val="00EB5872"/>
    <w:rsid w:val="00EB6F5B"/>
    <w:rsid w:val="00EC082F"/>
    <w:rsid w:val="00EC1176"/>
    <w:rsid w:val="00EC11B9"/>
    <w:rsid w:val="00EC1B8B"/>
    <w:rsid w:val="00EC348D"/>
    <w:rsid w:val="00EC3593"/>
    <w:rsid w:val="00EC3696"/>
    <w:rsid w:val="00EC445C"/>
    <w:rsid w:val="00EC4A85"/>
    <w:rsid w:val="00EC4D18"/>
    <w:rsid w:val="00EC50FC"/>
    <w:rsid w:val="00EC5639"/>
    <w:rsid w:val="00EC5772"/>
    <w:rsid w:val="00EC6DE2"/>
    <w:rsid w:val="00EC6E3C"/>
    <w:rsid w:val="00EC738F"/>
    <w:rsid w:val="00EC7653"/>
    <w:rsid w:val="00EC77F7"/>
    <w:rsid w:val="00ED1438"/>
    <w:rsid w:val="00ED34B3"/>
    <w:rsid w:val="00ED366C"/>
    <w:rsid w:val="00ED62C5"/>
    <w:rsid w:val="00ED63A6"/>
    <w:rsid w:val="00ED6749"/>
    <w:rsid w:val="00EE01BA"/>
    <w:rsid w:val="00EE1585"/>
    <w:rsid w:val="00EE47B8"/>
    <w:rsid w:val="00EE571E"/>
    <w:rsid w:val="00EE6B73"/>
    <w:rsid w:val="00EE70E9"/>
    <w:rsid w:val="00EE775E"/>
    <w:rsid w:val="00EE7AF8"/>
    <w:rsid w:val="00EE7DF6"/>
    <w:rsid w:val="00EF0948"/>
    <w:rsid w:val="00EF0D32"/>
    <w:rsid w:val="00EF225D"/>
    <w:rsid w:val="00EF37ED"/>
    <w:rsid w:val="00EF4EE2"/>
    <w:rsid w:val="00EF5348"/>
    <w:rsid w:val="00EF5833"/>
    <w:rsid w:val="00EF5A68"/>
    <w:rsid w:val="00EF5ADB"/>
    <w:rsid w:val="00EF5B59"/>
    <w:rsid w:val="00F00F34"/>
    <w:rsid w:val="00F019CD"/>
    <w:rsid w:val="00F01EF0"/>
    <w:rsid w:val="00F022E4"/>
    <w:rsid w:val="00F02413"/>
    <w:rsid w:val="00F03EF7"/>
    <w:rsid w:val="00F042D7"/>
    <w:rsid w:val="00F04B9A"/>
    <w:rsid w:val="00F05CEA"/>
    <w:rsid w:val="00F06046"/>
    <w:rsid w:val="00F06520"/>
    <w:rsid w:val="00F0656D"/>
    <w:rsid w:val="00F067FD"/>
    <w:rsid w:val="00F06F54"/>
    <w:rsid w:val="00F07242"/>
    <w:rsid w:val="00F07CB6"/>
    <w:rsid w:val="00F10227"/>
    <w:rsid w:val="00F10D1B"/>
    <w:rsid w:val="00F10F31"/>
    <w:rsid w:val="00F12812"/>
    <w:rsid w:val="00F13391"/>
    <w:rsid w:val="00F134DE"/>
    <w:rsid w:val="00F13795"/>
    <w:rsid w:val="00F14295"/>
    <w:rsid w:val="00F161AA"/>
    <w:rsid w:val="00F16C2C"/>
    <w:rsid w:val="00F1760A"/>
    <w:rsid w:val="00F215BC"/>
    <w:rsid w:val="00F21BE1"/>
    <w:rsid w:val="00F22888"/>
    <w:rsid w:val="00F2402E"/>
    <w:rsid w:val="00F24FCF"/>
    <w:rsid w:val="00F258F8"/>
    <w:rsid w:val="00F272BC"/>
    <w:rsid w:val="00F2784E"/>
    <w:rsid w:val="00F2796E"/>
    <w:rsid w:val="00F27AC5"/>
    <w:rsid w:val="00F27F65"/>
    <w:rsid w:val="00F30952"/>
    <w:rsid w:val="00F32C1B"/>
    <w:rsid w:val="00F3322C"/>
    <w:rsid w:val="00F33270"/>
    <w:rsid w:val="00F33384"/>
    <w:rsid w:val="00F336D4"/>
    <w:rsid w:val="00F337F6"/>
    <w:rsid w:val="00F33865"/>
    <w:rsid w:val="00F33A5F"/>
    <w:rsid w:val="00F340F2"/>
    <w:rsid w:val="00F366AE"/>
    <w:rsid w:val="00F36CF8"/>
    <w:rsid w:val="00F40C3B"/>
    <w:rsid w:val="00F4106F"/>
    <w:rsid w:val="00F41914"/>
    <w:rsid w:val="00F42047"/>
    <w:rsid w:val="00F4226C"/>
    <w:rsid w:val="00F424D0"/>
    <w:rsid w:val="00F444BE"/>
    <w:rsid w:val="00F44546"/>
    <w:rsid w:val="00F44DEA"/>
    <w:rsid w:val="00F45578"/>
    <w:rsid w:val="00F458E9"/>
    <w:rsid w:val="00F45CA0"/>
    <w:rsid w:val="00F45D4E"/>
    <w:rsid w:val="00F47940"/>
    <w:rsid w:val="00F50187"/>
    <w:rsid w:val="00F51F0D"/>
    <w:rsid w:val="00F5355C"/>
    <w:rsid w:val="00F53E68"/>
    <w:rsid w:val="00F5455F"/>
    <w:rsid w:val="00F54EC5"/>
    <w:rsid w:val="00F55F41"/>
    <w:rsid w:val="00F561F1"/>
    <w:rsid w:val="00F56D19"/>
    <w:rsid w:val="00F56F8A"/>
    <w:rsid w:val="00F57D8B"/>
    <w:rsid w:val="00F60E8E"/>
    <w:rsid w:val="00F61270"/>
    <w:rsid w:val="00F61881"/>
    <w:rsid w:val="00F61C01"/>
    <w:rsid w:val="00F62EB2"/>
    <w:rsid w:val="00F63206"/>
    <w:rsid w:val="00F639ED"/>
    <w:rsid w:val="00F63D8D"/>
    <w:rsid w:val="00F64D70"/>
    <w:rsid w:val="00F6630F"/>
    <w:rsid w:val="00F664BE"/>
    <w:rsid w:val="00F70DCF"/>
    <w:rsid w:val="00F71825"/>
    <w:rsid w:val="00F71CAE"/>
    <w:rsid w:val="00F725A0"/>
    <w:rsid w:val="00F73C3A"/>
    <w:rsid w:val="00F76563"/>
    <w:rsid w:val="00F779BE"/>
    <w:rsid w:val="00F81772"/>
    <w:rsid w:val="00F82A40"/>
    <w:rsid w:val="00F82B98"/>
    <w:rsid w:val="00F8312D"/>
    <w:rsid w:val="00F831D4"/>
    <w:rsid w:val="00F83AC0"/>
    <w:rsid w:val="00F83CD0"/>
    <w:rsid w:val="00F84013"/>
    <w:rsid w:val="00F85232"/>
    <w:rsid w:val="00F8650E"/>
    <w:rsid w:val="00F86FE2"/>
    <w:rsid w:val="00F8710F"/>
    <w:rsid w:val="00F8769C"/>
    <w:rsid w:val="00F8776E"/>
    <w:rsid w:val="00F87DB3"/>
    <w:rsid w:val="00F87E75"/>
    <w:rsid w:val="00F90087"/>
    <w:rsid w:val="00F900EC"/>
    <w:rsid w:val="00F92B3F"/>
    <w:rsid w:val="00F9406C"/>
    <w:rsid w:val="00F94661"/>
    <w:rsid w:val="00FA0737"/>
    <w:rsid w:val="00FA0ED3"/>
    <w:rsid w:val="00FA1006"/>
    <w:rsid w:val="00FA1249"/>
    <w:rsid w:val="00FA1EA7"/>
    <w:rsid w:val="00FA37D4"/>
    <w:rsid w:val="00FA3BED"/>
    <w:rsid w:val="00FA443E"/>
    <w:rsid w:val="00FA4935"/>
    <w:rsid w:val="00FA6E66"/>
    <w:rsid w:val="00FA7214"/>
    <w:rsid w:val="00FA7BA2"/>
    <w:rsid w:val="00FA7F29"/>
    <w:rsid w:val="00FB0989"/>
    <w:rsid w:val="00FB09F2"/>
    <w:rsid w:val="00FB0E32"/>
    <w:rsid w:val="00FB27AD"/>
    <w:rsid w:val="00FB2882"/>
    <w:rsid w:val="00FB2DEE"/>
    <w:rsid w:val="00FB46DE"/>
    <w:rsid w:val="00FB529A"/>
    <w:rsid w:val="00FB546F"/>
    <w:rsid w:val="00FB755B"/>
    <w:rsid w:val="00FB7B08"/>
    <w:rsid w:val="00FB7F90"/>
    <w:rsid w:val="00FC0271"/>
    <w:rsid w:val="00FC039B"/>
    <w:rsid w:val="00FC0B4C"/>
    <w:rsid w:val="00FC0DF6"/>
    <w:rsid w:val="00FC1E2C"/>
    <w:rsid w:val="00FC3162"/>
    <w:rsid w:val="00FC44C7"/>
    <w:rsid w:val="00FC62E1"/>
    <w:rsid w:val="00FC7055"/>
    <w:rsid w:val="00FC7E20"/>
    <w:rsid w:val="00FD001C"/>
    <w:rsid w:val="00FD0A2F"/>
    <w:rsid w:val="00FD1C3A"/>
    <w:rsid w:val="00FD1FA3"/>
    <w:rsid w:val="00FD36AE"/>
    <w:rsid w:val="00FD3A3F"/>
    <w:rsid w:val="00FD4B38"/>
    <w:rsid w:val="00FD5300"/>
    <w:rsid w:val="00FD634A"/>
    <w:rsid w:val="00FD6C94"/>
    <w:rsid w:val="00FD6CF1"/>
    <w:rsid w:val="00FD785C"/>
    <w:rsid w:val="00FD7C9D"/>
    <w:rsid w:val="00FD7EB8"/>
    <w:rsid w:val="00FE0506"/>
    <w:rsid w:val="00FE336B"/>
    <w:rsid w:val="00FE3976"/>
    <w:rsid w:val="00FE4B3E"/>
    <w:rsid w:val="00FE4E1E"/>
    <w:rsid w:val="00FE6A91"/>
    <w:rsid w:val="00FE77B5"/>
    <w:rsid w:val="00FF0411"/>
    <w:rsid w:val="00FF1AA8"/>
    <w:rsid w:val="00FF1B99"/>
    <w:rsid w:val="00FF2E8B"/>
    <w:rsid w:val="00FF30BF"/>
    <w:rsid w:val="00FF35F2"/>
    <w:rsid w:val="00FF4207"/>
    <w:rsid w:val="00FF4545"/>
    <w:rsid w:val="00FF47D0"/>
    <w:rsid w:val="00FF4804"/>
    <w:rsid w:val="00FF6702"/>
    <w:rsid w:val="00FF684C"/>
    <w:rsid w:val="015C1140"/>
    <w:rsid w:val="017C3669"/>
    <w:rsid w:val="018E94A4"/>
    <w:rsid w:val="01CF3D62"/>
    <w:rsid w:val="01FF9E77"/>
    <w:rsid w:val="024B7111"/>
    <w:rsid w:val="027FF03E"/>
    <w:rsid w:val="030AC1C2"/>
    <w:rsid w:val="033BF95A"/>
    <w:rsid w:val="03616931"/>
    <w:rsid w:val="03D17D79"/>
    <w:rsid w:val="04ED856D"/>
    <w:rsid w:val="055DA04A"/>
    <w:rsid w:val="05FEA96B"/>
    <w:rsid w:val="061D9469"/>
    <w:rsid w:val="06752A10"/>
    <w:rsid w:val="06A3DBD8"/>
    <w:rsid w:val="077A8ACC"/>
    <w:rsid w:val="07A3AFB8"/>
    <w:rsid w:val="08627C3C"/>
    <w:rsid w:val="08776919"/>
    <w:rsid w:val="088E02BE"/>
    <w:rsid w:val="096E69E9"/>
    <w:rsid w:val="09FA37F6"/>
    <w:rsid w:val="0A70776D"/>
    <w:rsid w:val="0A971053"/>
    <w:rsid w:val="0AB92C7B"/>
    <w:rsid w:val="0B63FA1F"/>
    <w:rsid w:val="0BD3288E"/>
    <w:rsid w:val="0BE6B0E9"/>
    <w:rsid w:val="0C2714AF"/>
    <w:rsid w:val="0E0DDDFA"/>
    <w:rsid w:val="0EBC0D55"/>
    <w:rsid w:val="0EC7E24B"/>
    <w:rsid w:val="0F499DEF"/>
    <w:rsid w:val="0F504886"/>
    <w:rsid w:val="0F63AF20"/>
    <w:rsid w:val="0FF370DE"/>
    <w:rsid w:val="101AA4A9"/>
    <w:rsid w:val="103E5AB0"/>
    <w:rsid w:val="1056A3C5"/>
    <w:rsid w:val="10B7EEC8"/>
    <w:rsid w:val="11947242"/>
    <w:rsid w:val="11AE7582"/>
    <w:rsid w:val="11C968BE"/>
    <w:rsid w:val="12489DF4"/>
    <w:rsid w:val="12A295A3"/>
    <w:rsid w:val="13C5C709"/>
    <w:rsid w:val="1405CAEF"/>
    <w:rsid w:val="147CA697"/>
    <w:rsid w:val="150B919F"/>
    <w:rsid w:val="15FA8C04"/>
    <w:rsid w:val="15FF4123"/>
    <w:rsid w:val="16194628"/>
    <w:rsid w:val="16400981"/>
    <w:rsid w:val="167516A8"/>
    <w:rsid w:val="16CFFFF7"/>
    <w:rsid w:val="16E95BDE"/>
    <w:rsid w:val="176E83B7"/>
    <w:rsid w:val="18002F2C"/>
    <w:rsid w:val="184F47AF"/>
    <w:rsid w:val="18806A9A"/>
    <w:rsid w:val="18B5CA70"/>
    <w:rsid w:val="19D2E5C4"/>
    <w:rsid w:val="1A234CD1"/>
    <w:rsid w:val="1A2D55DB"/>
    <w:rsid w:val="1AFAA67A"/>
    <w:rsid w:val="1B1C1797"/>
    <w:rsid w:val="1B2F6BC8"/>
    <w:rsid w:val="1C0C8E74"/>
    <w:rsid w:val="1C3A3B1F"/>
    <w:rsid w:val="1C791D2E"/>
    <w:rsid w:val="1D32CC1E"/>
    <w:rsid w:val="1DC3A410"/>
    <w:rsid w:val="1E0BFBC3"/>
    <w:rsid w:val="1E3F8FB2"/>
    <w:rsid w:val="1EB9F575"/>
    <w:rsid w:val="1EC41228"/>
    <w:rsid w:val="1F055C7A"/>
    <w:rsid w:val="1F803A89"/>
    <w:rsid w:val="1F95A79D"/>
    <w:rsid w:val="1F9CA98C"/>
    <w:rsid w:val="1FE75AC6"/>
    <w:rsid w:val="1FE8F0BD"/>
    <w:rsid w:val="20CA936E"/>
    <w:rsid w:val="20CC4091"/>
    <w:rsid w:val="20EDEEAA"/>
    <w:rsid w:val="218DA77A"/>
    <w:rsid w:val="21CBAD48"/>
    <w:rsid w:val="22319B9A"/>
    <w:rsid w:val="22BB6B7C"/>
    <w:rsid w:val="22F55A65"/>
    <w:rsid w:val="235A4F9D"/>
    <w:rsid w:val="2438753A"/>
    <w:rsid w:val="263354E8"/>
    <w:rsid w:val="27148732"/>
    <w:rsid w:val="2759A662"/>
    <w:rsid w:val="28010A5E"/>
    <w:rsid w:val="28466B52"/>
    <w:rsid w:val="2965ABC1"/>
    <w:rsid w:val="2A9EB262"/>
    <w:rsid w:val="2AD6D80D"/>
    <w:rsid w:val="2B07D6EA"/>
    <w:rsid w:val="2BABF16D"/>
    <w:rsid w:val="2C082B03"/>
    <w:rsid w:val="2C0AC939"/>
    <w:rsid w:val="2C1CE229"/>
    <w:rsid w:val="2C289044"/>
    <w:rsid w:val="2C95AE6A"/>
    <w:rsid w:val="2CC3D051"/>
    <w:rsid w:val="2D5F28ED"/>
    <w:rsid w:val="2D90338D"/>
    <w:rsid w:val="2E0749E6"/>
    <w:rsid w:val="2E270F48"/>
    <w:rsid w:val="2E296A34"/>
    <w:rsid w:val="2ECFEFCD"/>
    <w:rsid w:val="2EF088B4"/>
    <w:rsid w:val="2EF9DE56"/>
    <w:rsid w:val="2F529C0A"/>
    <w:rsid w:val="2F6266E8"/>
    <w:rsid w:val="2F708C4E"/>
    <w:rsid w:val="2FA37793"/>
    <w:rsid w:val="2FBF72EB"/>
    <w:rsid w:val="300F944A"/>
    <w:rsid w:val="3036226F"/>
    <w:rsid w:val="304D41AB"/>
    <w:rsid w:val="306EA11E"/>
    <w:rsid w:val="307C527B"/>
    <w:rsid w:val="30FC8428"/>
    <w:rsid w:val="313B73AF"/>
    <w:rsid w:val="3218AED5"/>
    <w:rsid w:val="32925D11"/>
    <w:rsid w:val="32A8CE2C"/>
    <w:rsid w:val="33A3F02A"/>
    <w:rsid w:val="33E1BD20"/>
    <w:rsid w:val="349EE277"/>
    <w:rsid w:val="34DF8C0A"/>
    <w:rsid w:val="35364491"/>
    <w:rsid w:val="354B45A2"/>
    <w:rsid w:val="36CBD737"/>
    <w:rsid w:val="3714349C"/>
    <w:rsid w:val="373C1EE8"/>
    <w:rsid w:val="37ACB784"/>
    <w:rsid w:val="3814228F"/>
    <w:rsid w:val="38DA3865"/>
    <w:rsid w:val="398B9C5E"/>
    <w:rsid w:val="39D31CFB"/>
    <w:rsid w:val="3A1F078D"/>
    <w:rsid w:val="3A419B36"/>
    <w:rsid w:val="3A6882B2"/>
    <w:rsid w:val="3B503E93"/>
    <w:rsid w:val="3B635BA9"/>
    <w:rsid w:val="3BA1A9B7"/>
    <w:rsid w:val="3BD42444"/>
    <w:rsid w:val="3BFEC2B6"/>
    <w:rsid w:val="3CDD14F7"/>
    <w:rsid w:val="3CE7822C"/>
    <w:rsid w:val="3D493A1F"/>
    <w:rsid w:val="3D584812"/>
    <w:rsid w:val="3D8D8012"/>
    <w:rsid w:val="3D90EA08"/>
    <w:rsid w:val="3E6DEE8D"/>
    <w:rsid w:val="3E8BF8AE"/>
    <w:rsid w:val="3FAC0FDA"/>
    <w:rsid w:val="3FB5AA16"/>
    <w:rsid w:val="3FCDDDDA"/>
    <w:rsid w:val="40425F52"/>
    <w:rsid w:val="408072A8"/>
    <w:rsid w:val="40B8BE36"/>
    <w:rsid w:val="40DC0683"/>
    <w:rsid w:val="4155243F"/>
    <w:rsid w:val="4180D335"/>
    <w:rsid w:val="41ED6CC6"/>
    <w:rsid w:val="423A60F6"/>
    <w:rsid w:val="44167C36"/>
    <w:rsid w:val="457EB4E8"/>
    <w:rsid w:val="4581AA9A"/>
    <w:rsid w:val="45CBE40C"/>
    <w:rsid w:val="45E6BF3E"/>
    <w:rsid w:val="46310E3D"/>
    <w:rsid w:val="4720099B"/>
    <w:rsid w:val="475975B8"/>
    <w:rsid w:val="47AAE04C"/>
    <w:rsid w:val="4855F9E4"/>
    <w:rsid w:val="48662F20"/>
    <w:rsid w:val="48AD6769"/>
    <w:rsid w:val="49018357"/>
    <w:rsid w:val="4929BFC4"/>
    <w:rsid w:val="4A179DC8"/>
    <w:rsid w:val="4A5B276E"/>
    <w:rsid w:val="4A9496C7"/>
    <w:rsid w:val="4BA20F4B"/>
    <w:rsid w:val="4C2C8721"/>
    <w:rsid w:val="4C3A94BC"/>
    <w:rsid w:val="4C9A89EF"/>
    <w:rsid w:val="4CE7C57F"/>
    <w:rsid w:val="4D1AA28A"/>
    <w:rsid w:val="4D9420B5"/>
    <w:rsid w:val="4E73C149"/>
    <w:rsid w:val="4F1F6926"/>
    <w:rsid w:val="4F42F111"/>
    <w:rsid w:val="4F535D29"/>
    <w:rsid w:val="4F64B7F5"/>
    <w:rsid w:val="4F9F1C43"/>
    <w:rsid w:val="4FF6F04E"/>
    <w:rsid w:val="4FFDB631"/>
    <w:rsid w:val="512FB3F5"/>
    <w:rsid w:val="513B53A1"/>
    <w:rsid w:val="5164B3E0"/>
    <w:rsid w:val="520D8A47"/>
    <w:rsid w:val="52837D10"/>
    <w:rsid w:val="52A2E758"/>
    <w:rsid w:val="53446D06"/>
    <w:rsid w:val="53C81913"/>
    <w:rsid w:val="5465BA7D"/>
    <w:rsid w:val="54F32134"/>
    <w:rsid w:val="553ED359"/>
    <w:rsid w:val="55D55178"/>
    <w:rsid w:val="561E0368"/>
    <w:rsid w:val="562CC895"/>
    <w:rsid w:val="5634CAE1"/>
    <w:rsid w:val="56876781"/>
    <w:rsid w:val="569E99ED"/>
    <w:rsid w:val="5734FE7E"/>
    <w:rsid w:val="58A9CF37"/>
    <w:rsid w:val="58AA031F"/>
    <w:rsid w:val="59934775"/>
    <w:rsid w:val="59D6E963"/>
    <w:rsid w:val="5A4D39BB"/>
    <w:rsid w:val="5A4E8D27"/>
    <w:rsid w:val="5BDA2D38"/>
    <w:rsid w:val="5BDFDF7E"/>
    <w:rsid w:val="5BE26DB2"/>
    <w:rsid w:val="5C0B70D8"/>
    <w:rsid w:val="5C181E04"/>
    <w:rsid w:val="5CEF59D2"/>
    <w:rsid w:val="5D49727B"/>
    <w:rsid w:val="5D5D8A5E"/>
    <w:rsid w:val="5DAC85F5"/>
    <w:rsid w:val="5DF99F6C"/>
    <w:rsid w:val="5E298602"/>
    <w:rsid w:val="5E701FA5"/>
    <w:rsid w:val="5F8011BF"/>
    <w:rsid w:val="5F8DC3EE"/>
    <w:rsid w:val="5F9EC583"/>
    <w:rsid w:val="5FB240D3"/>
    <w:rsid w:val="614D78AE"/>
    <w:rsid w:val="61A3DC51"/>
    <w:rsid w:val="61AA9C7B"/>
    <w:rsid w:val="6212E44B"/>
    <w:rsid w:val="62527BE1"/>
    <w:rsid w:val="62C977AC"/>
    <w:rsid w:val="62C9A80D"/>
    <w:rsid w:val="6302A3F9"/>
    <w:rsid w:val="635ABD34"/>
    <w:rsid w:val="63F00610"/>
    <w:rsid w:val="6419E9A3"/>
    <w:rsid w:val="64B3B81E"/>
    <w:rsid w:val="64B9AC8C"/>
    <w:rsid w:val="65A684DE"/>
    <w:rsid w:val="66C64A25"/>
    <w:rsid w:val="66F90D4A"/>
    <w:rsid w:val="672CE092"/>
    <w:rsid w:val="67395F21"/>
    <w:rsid w:val="6790A487"/>
    <w:rsid w:val="682405AB"/>
    <w:rsid w:val="696C48A4"/>
    <w:rsid w:val="696DE680"/>
    <w:rsid w:val="6980F29F"/>
    <w:rsid w:val="6A13DA7D"/>
    <w:rsid w:val="6A713422"/>
    <w:rsid w:val="6A929992"/>
    <w:rsid w:val="6AB3B38B"/>
    <w:rsid w:val="6B59A645"/>
    <w:rsid w:val="6B661DA6"/>
    <w:rsid w:val="6B76AFCA"/>
    <w:rsid w:val="6BD46BDE"/>
    <w:rsid w:val="6BEC0595"/>
    <w:rsid w:val="6D2222E2"/>
    <w:rsid w:val="6E4A5845"/>
    <w:rsid w:val="6F8A277C"/>
    <w:rsid w:val="70144AF3"/>
    <w:rsid w:val="703CF817"/>
    <w:rsid w:val="70531B50"/>
    <w:rsid w:val="7063B910"/>
    <w:rsid w:val="7066084E"/>
    <w:rsid w:val="717D5D82"/>
    <w:rsid w:val="71AA6C71"/>
    <w:rsid w:val="71D25717"/>
    <w:rsid w:val="72A68921"/>
    <w:rsid w:val="75381A1C"/>
    <w:rsid w:val="7606B7B5"/>
    <w:rsid w:val="7658294E"/>
    <w:rsid w:val="76612FBD"/>
    <w:rsid w:val="772CEC0F"/>
    <w:rsid w:val="77ABA982"/>
    <w:rsid w:val="77C8B931"/>
    <w:rsid w:val="77F6B03A"/>
    <w:rsid w:val="7929AF8A"/>
    <w:rsid w:val="797532E0"/>
    <w:rsid w:val="7A4AF139"/>
    <w:rsid w:val="7A8B8527"/>
    <w:rsid w:val="7A98CCA5"/>
    <w:rsid w:val="7AA0EB3A"/>
    <w:rsid w:val="7AA4C850"/>
    <w:rsid w:val="7B5EA832"/>
    <w:rsid w:val="7B73B987"/>
    <w:rsid w:val="7B76F452"/>
    <w:rsid w:val="7D267D4A"/>
    <w:rsid w:val="7D4BE640"/>
    <w:rsid w:val="7D4E6FA7"/>
    <w:rsid w:val="7D809DD9"/>
    <w:rsid w:val="7D8728C4"/>
    <w:rsid w:val="7DDD27F0"/>
    <w:rsid w:val="7E0B6530"/>
    <w:rsid w:val="7E40AF79"/>
    <w:rsid w:val="7ECA488E"/>
    <w:rsid w:val="7F397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381A6"/>
  <w15:chartTrackingRefBased/>
  <w15:docId w15:val="{0A811DDE-BE4F-4C5A-8CBE-2A6B88D4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CF"/>
    <w:rPr>
      <w:sz w:val="24"/>
    </w:rPr>
  </w:style>
  <w:style w:type="paragraph" w:styleId="Heading1">
    <w:name w:val="heading 1"/>
    <w:basedOn w:val="Normal"/>
    <w:next w:val="Normal"/>
    <w:link w:val="Heading1Char"/>
    <w:uiPriority w:val="9"/>
    <w:qFormat/>
    <w:rsid w:val="00800890"/>
    <w:pPr>
      <w:keepNext/>
      <w:keepLines/>
      <w:spacing w:before="360" w:after="240"/>
      <w:outlineLvl w:val="0"/>
    </w:pPr>
    <w:rPr>
      <w:rFonts w:asciiTheme="majorHAnsi" w:eastAsiaTheme="majorEastAsia" w:hAnsiTheme="majorHAnsi" w:cstheme="majorBidi"/>
      <w:b/>
      <w:bCs/>
      <w:color w:val="0F4761" w:themeColor="accent1" w:themeShade="BF"/>
      <w:sz w:val="36"/>
      <w:szCs w:val="36"/>
    </w:rPr>
  </w:style>
  <w:style w:type="paragraph" w:styleId="Heading2">
    <w:name w:val="heading 2"/>
    <w:basedOn w:val="Normal"/>
    <w:next w:val="Normal"/>
    <w:link w:val="Heading2Char"/>
    <w:uiPriority w:val="9"/>
    <w:unhideWhenUsed/>
    <w:qFormat/>
    <w:rsid w:val="00826F8F"/>
    <w:pPr>
      <w:keepNext/>
      <w:keepLines/>
      <w:spacing w:before="240" w:after="240"/>
      <w:outlineLvl w:val="1"/>
    </w:pPr>
    <w:rPr>
      <w:rFonts w:asciiTheme="majorHAnsi" w:eastAsiaTheme="majorEastAsia" w:hAnsiTheme="majorHAnsi" w:cstheme="majorBidi"/>
      <w:b/>
      <w:bCs/>
      <w:color w:val="0F4761" w:themeColor="accent1" w:themeShade="BF"/>
      <w:sz w:val="28"/>
      <w:szCs w:val="28"/>
      <w:lang w:val="en-US"/>
    </w:rPr>
  </w:style>
  <w:style w:type="paragraph" w:styleId="Heading3">
    <w:name w:val="heading 3"/>
    <w:basedOn w:val="Normal"/>
    <w:next w:val="Normal"/>
    <w:link w:val="Heading3Char"/>
    <w:uiPriority w:val="9"/>
    <w:unhideWhenUsed/>
    <w:qFormat/>
    <w:rsid w:val="007B3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B3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B3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890"/>
    <w:rPr>
      <w:rFonts w:asciiTheme="majorHAnsi" w:eastAsiaTheme="majorEastAsia" w:hAnsiTheme="majorHAnsi" w:cstheme="majorBidi"/>
      <w:b/>
      <w:bCs/>
      <w:color w:val="0F4761" w:themeColor="accent1" w:themeShade="BF"/>
      <w:sz w:val="36"/>
      <w:szCs w:val="36"/>
    </w:rPr>
  </w:style>
  <w:style w:type="character" w:customStyle="1" w:styleId="Heading2Char">
    <w:name w:val="Heading 2 Char"/>
    <w:basedOn w:val="DefaultParagraphFont"/>
    <w:link w:val="Heading2"/>
    <w:uiPriority w:val="9"/>
    <w:rsid w:val="00826F8F"/>
    <w:rPr>
      <w:rFonts w:asciiTheme="majorHAnsi" w:eastAsiaTheme="majorEastAsia" w:hAnsiTheme="majorHAnsi" w:cstheme="majorBidi"/>
      <w:b/>
      <w:bCs/>
      <w:color w:val="0F4761" w:themeColor="accent1" w:themeShade="BF"/>
      <w:sz w:val="28"/>
      <w:szCs w:val="28"/>
      <w:lang w:val="en-US"/>
    </w:rPr>
  </w:style>
  <w:style w:type="character" w:customStyle="1" w:styleId="Heading3Char">
    <w:name w:val="Heading 3 Char"/>
    <w:basedOn w:val="DefaultParagraphFont"/>
    <w:link w:val="Heading3"/>
    <w:uiPriority w:val="9"/>
    <w:rsid w:val="007B3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B3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B3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35E"/>
    <w:rPr>
      <w:rFonts w:eastAsiaTheme="majorEastAsia" w:cstheme="majorBidi"/>
      <w:color w:val="272727" w:themeColor="text1" w:themeTint="D8"/>
    </w:rPr>
  </w:style>
  <w:style w:type="paragraph" w:styleId="Title">
    <w:name w:val="Title"/>
    <w:basedOn w:val="Normal"/>
    <w:next w:val="Normal"/>
    <w:link w:val="TitleChar"/>
    <w:uiPriority w:val="10"/>
    <w:qFormat/>
    <w:rsid w:val="007B3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35E"/>
    <w:pPr>
      <w:spacing w:before="160"/>
      <w:jc w:val="center"/>
    </w:pPr>
    <w:rPr>
      <w:i/>
      <w:iCs/>
      <w:color w:val="404040" w:themeColor="text1" w:themeTint="BF"/>
    </w:rPr>
  </w:style>
  <w:style w:type="character" w:customStyle="1" w:styleId="QuoteChar">
    <w:name w:val="Quote Char"/>
    <w:basedOn w:val="DefaultParagraphFont"/>
    <w:link w:val="Quote"/>
    <w:uiPriority w:val="29"/>
    <w:rsid w:val="007B335E"/>
    <w:rPr>
      <w:i/>
      <w:iCs/>
      <w:color w:val="404040" w:themeColor="text1" w:themeTint="BF"/>
    </w:rPr>
  </w:style>
  <w:style w:type="paragraph" w:styleId="ListParagraph">
    <w:name w:val="List Paragraph"/>
    <w:basedOn w:val="Normal"/>
    <w:uiPriority w:val="34"/>
    <w:qFormat/>
    <w:rsid w:val="007B335E"/>
    <w:pPr>
      <w:ind w:left="720"/>
      <w:contextualSpacing/>
    </w:pPr>
  </w:style>
  <w:style w:type="character" w:styleId="IntenseEmphasis">
    <w:name w:val="Intense Emphasis"/>
    <w:basedOn w:val="DefaultParagraphFont"/>
    <w:uiPriority w:val="21"/>
    <w:qFormat/>
    <w:rsid w:val="007B335E"/>
    <w:rPr>
      <w:i/>
      <w:iCs/>
      <w:color w:val="0F4761" w:themeColor="accent1" w:themeShade="BF"/>
    </w:rPr>
  </w:style>
  <w:style w:type="paragraph" w:styleId="IntenseQuote">
    <w:name w:val="Intense Quote"/>
    <w:basedOn w:val="Normal"/>
    <w:next w:val="Normal"/>
    <w:link w:val="IntenseQuoteChar"/>
    <w:uiPriority w:val="30"/>
    <w:qFormat/>
    <w:rsid w:val="007B3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35E"/>
    <w:rPr>
      <w:i/>
      <w:iCs/>
      <w:color w:val="0F4761" w:themeColor="accent1" w:themeShade="BF"/>
    </w:rPr>
  </w:style>
  <w:style w:type="character" w:styleId="IntenseReference">
    <w:name w:val="Intense Reference"/>
    <w:basedOn w:val="DefaultParagraphFont"/>
    <w:uiPriority w:val="32"/>
    <w:qFormat/>
    <w:rsid w:val="007B335E"/>
    <w:rPr>
      <w:b/>
      <w:bCs/>
      <w:smallCaps/>
      <w:color w:val="0F4761" w:themeColor="accent1" w:themeShade="BF"/>
      <w:spacing w:val="5"/>
    </w:rPr>
  </w:style>
  <w:style w:type="character" w:styleId="Hyperlink">
    <w:name w:val="Hyperlink"/>
    <w:basedOn w:val="DefaultParagraphFont"/>
    <w:uiPriority w:val="99"/>
    <w:unhideWhenUsed/>
    <w:rsid w:val="00F561F1"/>
    <w:rPr>
      <w:color w:val="0000FF"/>
      <w:u w:val="single"/>
    </w:rPr>
  </w:style>
  <w:style w:type="paragraph" w:customStyle="1" w:styleId="Pa19">
    <w:name w:val="Pa19"/>
    <w:basedOn w:val="Normal"/>
    <w:next w:val="Normal"/>
    <w:uiPriority w:val="99"/>
    <w:rsid w:val="00B70350"/>
    <w:pPr>
      <w:autoSpaceDE w:val="0"/>
      <w:autoSpaceDN w:val="0"/>
      <w:adjustRightInd w:val="0"/>
      <w:spacing w:after="0" w:line="211" w:lineRule="atLeast"/>
    </w:pPr>
    <w:rPr>
      <w:rFonts w:ascii="Univers 45 Light" w:hAnsi="Univers 45 Light"/>
      <w:kern w:val="0"/>
      <w:szCs w:val="24"/>
    </w:rPr>
  </w:style>
  <w:style w:type="paragraph" w:customStyle="1" w:styleId="Pa20">
    <w:name w:val="Pa20"/>
    <w:basedOn w:val="Normal"/>
    <w:next w:val="Normal"/>
    <w:uiPriority w:val="99"/>
    <w:rsid w:val="00B70350"/>
    <w:pPr>
      <w:autoSpaceDE w:val="0"/>
      <w:autoSpaceDN w:val="0"/>
      <w:adjustRightInd w:val="0"/>
      <w:spacing w:after="0" w:line="211" w:lineRule="atLeast"/>
    </w:pPr>
    <w:rPr>
      <w:rFonts w:ascii="Univers 45 Light" w:hAnsi="Univers 45 Light"/>
      <w:kern w:val="0"/>
      <w:szCs w:val="24"/>
    </w:rPr>
  </w:style>
  <w:style w:type="paragraph" w:customStyle="1" w:styleId="ResearchReport">
    <w:name w:val="Research Report"/>
    <w:basedOn w:val="Normal"/>
    <w:link w:val="ResearchReportChar"/>
    <w:qFormat/>
    <w:rsid w:val="00D00512"/>
    <w:pPr>
      <w:spacing w:before="120" w:after="120" w:line="276" w:lineRule="auto"/>
    </w:pPr>
    <w:rPr>
      <w:rFonts w:ascii="Arial" w:eastAsia="Times New Roman" w:hAnsi="Arial" w:cs="Times New Roman"/>
      <w:kern w:val="0"/>
      <w:szCs w:val="24"/>
      <w:lang w:val="en-US" w:eastAsia="en-AU"/>
      <w14:ligatures w14:val="none"/>
    </w:rPr>
  </w:style>
  <w:style w:type="character" w:customStyle="1" w:styleId="ResearchReportChar">
    <w:name w:val="Research Report Char"/>
    <w:link w:val="ResearchReport"/>
    <w:rsid w:val="00D00512"/>
    <w:rPr>
      <w:rFonts w:ascii="Arial" w:eastAsia="Times New Roman" w:hAnsi="Arial" w:cs="Times New Roman"/>
      <w:kern w:val="0"/>
      <w:sz w:val="24"/>
      <w:szCs w:val="24"/>
      <w:lang w:val="en-US" w:eastAsia="en-AU"/>
      <w14:ligatures w14:val="none"/>
    </w:rPr>
  </w:style>
  <w:style w:type="paragraph" w:styleId="EndnoteText">
    <w:name w:val="endnote text"/>
    <w:basedOn w:val="Normal"/>
    <w:link w:val="EndnoteTextChar"/>
    <w:uiPriority w:val="99"/>
    <w:unhideWhenUsed/>
    <w:rsid w:val="00D00512"/>
    <w:pPr>
      <w:spacing w:after="0" w:line="240" w:lineRule="auto"/>
    </w:pPr>
    <w:rPr>
      <w:rFonts w:ascii="Avenir Next LT Pro" w:hAnsi="Avenir Next LT Pro"/>
      <w:kern w:val="0"/>
      <w:sz w:val="20"/>
      <w:szCs w:val="20"/>
      <w14:ligatures w14:val="none"/>
    </w:rPr>
  </w:style>
  <w:style w:type="character" w:customStyle="1" w:styleId="EndnoteTextChar">
    <w:name w:val="Endnote Text Char"/>
    <w:basedOn w:val="DefaultParagraphFont"/>
    <w:link w:val="EndnoteText"/>
    <w:uiPriority w:val="99"/>
    <w:rsid w:val="00D00512"/>
    <w:rPr>
      <w:rFonts w:ascii="Avenir Next LT Pro" w:hAnsi="Avenir Next LT Pro"/>
      <w:kern w:val="0"/>
      <w:sz w:val="20"/>
      <w:szCs w:val="20"/>
      <w14:ligatures w14:val="none"/>
    </w:rPr>
  </w:style>
  <w:style w:type="character" w:styleId="EndnoteReference">
    <w:name w:val="endnote reference"/>
    <w:basedOn w:val="DefaultParagraphFont"/>
    <w:uiPriority w:val="99"/>
    <w:unhideWhenUsed/>
    <w:rsid w:val="00D00512"/>
    <w:rPr>
      <w:vertAlign w:val="superscript"/>
    </w:rPr>
  </w:style>
  <w:style w:type="table" w:styleId="TableGrid">
    <w:name w:val="Table Grid"/>
    <w:basedOn w:val="TableNormal"/>
    <w:uiPriority w:val="39"/>
    <w:rsid w:val="00D00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57AA"/>
    <w:rPr>
      <w:b/>
      <w:bCs/>
    </w:rPr>
  </w:style>
  <w:style w:type="paragraph" w:customStyle="1" w:styleId="Researchtext">
    <w:name w:val="Research text"/>
    <w:basedOn w:val="Normal"/>
    <w:link w:val="ResearchtextChar"/>
    <w:qFormat/>
    <w:rsid w:val="00804977"/>
    <w:pPr>
      <w:spacing w:before="120" w:after="120" w:line="276" w:lineRule="auto"/>
    </w:pPr>
    <w:rPr>
      <w:rFonts w:ascii="Arial" w:eastAsia="Times New Roman" w:hAnsi="Arial" w:cs="Arial"/>
      <w:kern w:val="0"/>
      <w:sz w:val="20"/>
      <w14:ligatures w14:val="none"/>
    </w:rPr>
  </w:style>
  <w:style w:type="character" w:customStyle="1" w:styleId="ResearchtextChar">
    <w:name w:val="Research text Char"/>
    <w:basedOn w:val="DefaultParagraphFont"/>
    <w:link w:val="Researchtext"/>
    <w:rsid w:val="00804977"/>
    <w:rPr>
      <w:rFonts w:ascii="Arial" w:eastAsia="Times New Roman" w:hAnsi="Arial" w:cs="Arial"/>
      <w:kern w:val="0"/>
      <w:sz w:val="20"/>
      <w14:ligatures w14:val="none"/>
    </w:rPr>
  </w:style>
  <w:style w:type="paragraph" w:styleId="Header">
    <w:name w:val="header"/>
    <w:basedOn w:val="Normal"/>
    <w:link w:val="HeaderChar"/>
    <w:uiPriority w:val="99"/>
    <w:unhideWhenUsed/>
    <w:rsid w:val="00E36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DF5"/>
  </w:style>
  <w:style w:type="paragraph" w:styleId="Footer">
    <w:name w:val="footer"/>
    <w:basedOn w:val="Normal"/>
    <w:link w:val="FooterChar"/>
    <w:uiPriority w:val="99"/>
    <w:unhideWhenUsed/>
    <w:rsid w:val="00E36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DF5"/>
  </w:style>
  <w:style w:type="paragraph" w:customStyle="1" w:styleId="Default">
    <w:name w:val="Default"/>
    <w:rsid w:val="00D1724B"/>
    <w:pPr>
      <w:autoSpaceDE w:val="0"/>
      <w:autoSpaceDN w:val="0"/>
      <w:adjustRightInd w:val="0"/>
      <w:spacing w:after="0" w:line="240" w:lineRule="auto"/>
    </w:pPr>
    <w:rPr>
      <w:rFonts w:ascii="Avenir Next LT Pro" w:hAnsi="Avenir Next LT Pro" w:cs="Avenir Next LT Pro"/>
      <w:color w:val="000000"/>
      <w:kern w:val="0"/>
      <w:sz w:val="24"/>
      <w:szCs w:val="24"/>
    </w:rPr>
  </w:style>
  <w:style w:type="paragraph" w:customStyle="1" w:styleId="Pa28">
    <w:name w:val="Pa28"/>
    <w:basedOn w:val="Default"/>
    <w:next w:val="Default"/>
    <w:uiPriority w:val="99"/>
    <w:rsid w:val="00D36E2E"/>
    <w:pPr>
      <w:spacing w:line="221" w:lineRule="atLeast"/>
    </w:pPr>
    <w:rPr>
      <w:rFonts w:ascii="Univers 45 Light" w:hAnsi="Univers 45 Light" w:cstheme="minorBidi"/>
      <w:color w:val="auto"/>
    </w:rPr>
  </w:style>
  <w:style w:type="paragraph" w:customStyle="1" w:styleId="Pa5">
    <w:name w:val="Pa5"/>
    <w:basedOn w:val="Default"/>
    <w:next w:val="Default"/>
    <w:uiPriority w:val="99"/>
    <w:rsid w:val="00D36E2E"/>
    <w:pPr>
      <w:spacing w:line="211" w:lineRule="atLeast"/>
    </w:pPr>
    <w:rPr>
      <w:rFonts w:ascii="Univers 45 Light" w:hAnsi="Univers 45 Light" w:cstheme="minorBidi"/>
      <w:color w:val="auto"/>
    </w:rPr>
  </w:style>
  <w:style w:type="character" w:customStyle="1" w:styleId="A13">
    <w:name w:val="A13"/>
    <w:uiPriority w:val="99"/>
    <w:rsid w:val="008E77DF"/>
    <w:rPr>
      <w:rFonts w:cs="Univers 45 Light"/>
      <w:i/>
      <w:iCs/>
      <w:color w:val="000000"/>
      <w:sz w:val="21"/>
      <w:szCs w:val="21"/>
      <w:u w:val="single"/>
    </w:rPr>
  </w:style>
  <w:style w:type="character" w:styleId="UnresolvedMention">
    <w:name w:val="Unresolved Mention"/>
    <w:basedOn w:val="DefaultParagraphFont"/>
    <w:uiPriority w:val="99"/>
    <w:semiHidden/>
    <w:unhideWhenUsed/>
    <w:rsid w:val="0078389D"/>
    <w:rPr>
      <w:color w:val="605E5C"/>
      <w:shd w:val="clear" w:color="auto" w:fill="E1DFDD"/>
    </w:rPr>
  </w:style>
  <w:style w:type="paragraph" w:customStyle="1" w:styleId="Pa33">
    <w:name w:val="Pa33"/>
    <w:basedOn w:val="Default"/>
    <w:next w:val="Default"/>
    <w:uiPriority w:val="99"/>
    <w:rsid w:val="001D3E4E"/>
    <w:pPr>
      <w:spacing w:line="211" w:lineRule="atLeast"/>
    </w:pPr>
    <w:rPr>
      <w:rFonts w:ascii="Univers 45 Light" w:hAnsi="Univers 45 Light" w:cstheme="minorBidi"/>
      <w:color w:val="auto"/>
    </w:rPr>
  </w:style>
  <w:style w:type="paragraph" w:customStyle="1" w:styleId="Pa34">
    <w:name w:val="Pa34"/>
    <w:basedOn w:val="Default"/>
    <w:next w:val="Default"/>
    <w:uiPriority w:val="99"/>
    <w:rsid w:val="001D3E4E"/>
    <w:pPr>
      <w:spacing w:line="211" w:lineRule="atLeast"/>
    </w:pPr>
    <w:rPr>
      <w:rFonts w:ascii="Univers 45 Light" w:hAnsi="Univers 45 Light" w:cstheme="minorBidi"/>
      <w:color w:val="auto"/>
    </w:rPr>
  </w:style>
  <w:style w:type="character" w:customStyle="1" w:styleId="A6">
    <w:name w:val="A6"/>
    <w:uiPriority w:val="99"/>
    <w:rsid w:val="001D3E4E"/>
    <w:rPr>
      <w:rFonts w:ascii="Wingdings 2" w:hAnsi="Wingdings 2" w:cs="Wingdings 2"/>
      <w:color w:val="000000"/>
    </w:rPr>
  </w:style>
  <w:style w:type="paragraph" w:customStyle="1" w:styleId="Pa40">
    <w:name w:val="Pa40"/>
    <w:basedOn w:val="Default"/>
    <w:next w:val="Default"/>
    <w:uiPriority w:val="99"/>
    <w:rsid w:val="00965C25"/>
    <w:pPr>
      <w:spacing w:line="211" w:lineRule="atLeast"/>
    </w:pPr>
    <w:rPr>
      <w:rFonts w:ascii="Univers 45 Light" w:hAnsi="Univers 45 Light" w:cstheme="minorBidi"/>
      <w:color w:val="auto"/>
    </w:rPr>
  </w:style>
  <w:style w:type="paragraph" w:customStyle="1" w:styleId="Pa23">
    <w:name w:val="Pa23"/>
    <w:basedOn w:val="Default"/>
    <w:next w:val="Default"/>
    <w:uiPriority w:val="99"/>
    <w:rsid w:val="00965C25"/>
    <w:pPr>
      <w:spacing w:line="211" w:lineRule="atLeast"/>
    </w:pPr>
    <w:rPr>
      <w:rFonts w:ascii="Univers 45 Light" w:hAnsi="Univers 45 Light" w:cstheme="minorBidi"/>
      <w:color w:val="auto"/>
    </w:rPr>
  </w:style>
  <w:style w:type="paragraph" w:customStyle="1" w:styleId="Pa44">
    <w:name w:val="Pa44"/>
    <w:basedOn w:val="Default"/>
    <w:next w:val="Default"/>
    <w:uiPriority w:val="99"/>
    <w:rsid w:val="002F4781"/>
    <w:pPr>
      <w:spacing w:line="211" w:lineRule="atLeast"/>
    </w:pPr>
    <w:rPr>
      <w:rFonts w:ascii="Univers 45 Light" w:hAnsi="Univers 45 Light" w:cstheme="minorBidi"/>
      <w:color w:val="auto"/>
    </w:rPr>
  </w:style>
  <w:style w:type="paragraph" w:customStyle="1" w:styleId="Pa36">
    <w:name w:val="Pa36"/>
    <w:basedOn w:val="Default"/>
    <w:next w:val="Default"/>
    <w:uiPriority w:val="99"/>
    <w:rsid w:val="00714E8C"/>
    <w:pPr>
      <w:spacing w:line="211" w:lineRule="atLeast"/>
    </w:pPr>
    <w:rPr>
      <w:rFonts w:ascii="Univers 45 Light" w:hAnsi="Univers 45 Light" w:cstheme="minorBidi"/>
      <w:color w:val="auto"/>
    </w:rPr>
  </w:style>
  <w:style w:type="paragraph" w:customStyle="1" w:styleId="Pa58">
    <w:name w:val="Pa58"/>
    <w:basedOn w:val="Default"/>
    <w:next w:val="Default"/>
    <w:uiPriority w:val="99"/>
    <w:rsid w:val="00714E8C"/>
    <w:pPr>
      <w:spacing w:line="211" w:lineRule="atLeast"/>
    </w:pPr>
    <w:rPr>
      <w:rFonts w:ascii="Univers 45 Light" w:hAnsi="Univers 45 Light" w:cstheme="minorBidi"/>
      <w:color w:val="auto"/>
    </w:rPr>
  </w:style>
  <w:style w:type="paragraph" w:customStyle="1" w:styleId="Pa52">
    <w:name w:val="Pa52"/>
    <w:basedOn w:val="Default"/>
    <w:next w:val="Default"/>
    <w:uiPriority w:val="99"/>
    <w:rsid w:val="001A3760"/>
    <w:pPr>
      <w:spacing w:line="211" w:lineRule="atLeast"/>
    </w:pPr>
    <w:rPr>
      <w:rFonts w:ascii="Univers 45 Light" w:hAnsi="Univers 45 Light" w:cstheme="minorBidi"/>
      <w:color w:val="auto"/>
    </w:rPr>
  </w:style>
  <w:style w:type="character" w:styleId="CommentReference">
    <w:name w:val="annotation reference"/>
    <w:basedOn w:val="DefaultParagraphFont"/>
    <w:uiPriority w:val="99"/>
    <w:semiHidden/>
    <w:unhideWhenUsed/>
    <w:rsid w:val="000F0F51"/>
    <w:rPr>
      <w:sz w:val="16"/>
      <w:szCs w:val="16"/>
    </w:rPr>
  </w:style>
  <w:style w:type="paragraph" w:styleId="CommentText">
    <w:name w:val="annotation text"/>
    <w:basedOn w:val="Normal"/>
    <w:link w:val="CommentTextChar"/>
    <w:uiPriority w:val="99"/>
    <w:unhideWhenUsed/>
    <w:rsid w:val="000F0F51"/>
    <w:pPr>
      <w:spacing w:line="240" w:lineRule="auto"/>
    </w:pPr>
    <w:rPr>
      <w:sz w:val="20"/>
      <w:szCs w:val="20"/>
    </w:rPr>
  </w:style>
  <w:style w:type="character" w:customStyle="1" w:styleId="CommentTextChar">
    <w:name w:val="Comment Text Char"/>
    <w:basedOn w:val="DefaultParagraphFont"/>
    <w:link w:val="CommentText"/>
    <w:uiPriority w:val="99"/>
    <w:rsid w:val="000F0F51"/>
    <w:rPr>
      <w:sz w:val="20"/>
      <w:szCs w:val="20"/>
    </w:rPr>
  </w:style>
  <w:style w:type="paragraph" w:styleId="CommentSubject">
    <w:name w:val="annotation subject"/>
    <w:basedOn w:val="CommentText"/>
    <w:next w:val="CommentText"/>
    <w:link w:val="CommentSubjectChar"/>
    <w:uiPriority w:val="99"/>
    <w:semiHidden/>
    <w:unhideWhenUsed/>
    <w:rsid w:val="000F0F51"/>
    <w:rPr>
      <w:b/>
      <w:bCs/>
    </w:rPr>
  </w:style>
  <w:style w:type="character" w:customStyle="1" w:styleId="CommentSubjectChar">
    <w:name w:val="Comment Subject Char"/>
    <w:basedOn w:val="CommentTextChar"/>
    <w:link w:val="CommentSubject"/>
    <w:uiPriority w:val="99"/>
    <w:semiHidden/>
    <w:rsid w:val="000F0F51"/>
    <w:rPr>
      <w:b/>
      <w:bCs/>
      <w:sz w:val="20"/>
      <w:szCs w:val="20"/>
    </w:rPr>
  </w:style>
  <w:style w:type="character" w:customStyle="1" w:styleId="A19">
    <w:name w:val="A19"/>
    <w:uiPriority w:val="99"/>
    <w:rsid w:val="00EC4A85"/>
    <w:rPr>
      <w:rFonts w:cs="Univers 45 Light"/>
      <w:color w:val="000000"/>
      <w:sz w:val="12"/>
      <w:szCs w:val="12"/>
    </w:rPr>
  </w:style>
  <w:style w:type="paragraph" w:customStyle="1" w:styleId="Pa72">
    <w:name w:val="Pa72"/>
    <w:basedOn w:val="Default"/>
    <w:next w:val="Default"/>
    <w:uiPriority w:val="99"/>
    <w:rsid w:val="00EC6E3C"/>
    <w:pPr>
      <w:spacing w:line="211" w:lineRule="atLeast"/>
    </w:pPr>
    <w:rPr>
      <w:rFonts w:ascii="Univers 45 Light" w:hAnsi="Univers 45 Light" w:cstheme="minorBidi"/>
      <w:color w:val="auto"/>
    </w:rPr>
  </w:style>
  <w:style w:type="paragraph" w:styleId="Revision">
    <w:name w:val="Revision"/>
    <w:hidden/>
    <w:uiPriority w:val="99"/>
    <w:semiHidden/>
    <w:rsid w:val="00A3131D"/>
    <w:pPr>
      <w:spacing w:after="0" w:line="240" w:lineRule="auto"/>
    </w:pPr>
  </w:style>
  <w:style w:type="paragraph" w:styleId="TOC1">
    <w:name w:val="toc 1"/>
    <w:basedOn w:val="Normal"/>
    <w:next w:val="Normal"/>
    <w:autoRedefine/>
    <w:uiPriority w:val="39"/>
    <w:unhideWhenUsed/>
    <w:rsid w:val="00653331"/>
    <w:pPr>
      <w:spacing w:after="100"/>
    </w:pPr>
  </w:style>
  <w:style w:type="character" w:styleId="Emphasis">
    <w:name w:val="Emphasis"/>
    <w:basedOn w:val="DefaultParagraphFont"/>
    <w:uiPriority w:val="20"/>
    <w:qFormat/>
    <w:rsid w:val="00250D10"/>
    <w:rPr>
      <w:i/>
      <w:iCs/>
    </w:rPr>
  </w:style>
  <w:style w:type="table" w:styleId="ListTable3-Accent1">
    <w:name w:val="List Table 3 Accent 1"/>
    <w:basedOn w:val="TableNormal"/>
    <w:uiPriority w:val="48"/>
    <w:rsid w:val="007D687B"/>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FollowedHyperlink">
    <w:name w:val="FollowedHyperlink"/>
    <w:basedOn w:val="DefaultParagraphFont"/>
    <w:uiPriority w:val="99"/>
    <w:semiHidden/>
    <w:unhideWhenUsed/>
    <w:rsid w:val="00511657"/>
    <w:rPr>
      <w:color w:val="96607D" w:themeColor="followedHyperlink"/>
      <w:u w:val="single"/>
    </w:rPr>
  </w:style>
  <w:style w:type="table" w:styleId="PlainTable2">
    <w:name w:val="Plain Table 2"/>
    <w:basedOn w:val="TableNormal"/>
    <w:uiPriority w:val="42"/>
    <w:rsid w:val="00C2365D"/>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C2365D"/>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C2365D"/>
    <w:rPr>
      <w:kern w:val="0"/>
      <w:sz w:val="20"/>
      <w:szCs w:val="20"/>
      <w14:ligatures w14:val="none"/>
    </w:rPr>
  </w:style>
  <w:style w:type="character" w:styleId="FootnoteReference">
    <w:name w:val="footnote reference"/>
    <w:basedOn w:val="DefaultParagraphFont"/>
    <w:uiPriority w:val="99"/>
    <w:semiHidden/>
    <w:unhideWhenUsed/>
    <w:rsid w:val="00C2365D"/>
    <w:rPr>
      <w:vertAlign w:val="superscript"/>
    </w:rPr>
  </w:style>
  <w:style w:type="character" w:styleId="Mention">
    <w:name w:val="Mention"/>
    <w:basedOn w:val="DefaultParagraphFont"/>
    <w:uiPriority w:val="99"/>
    <w:unhideWhenUsed/>
    <w:rsid w:val="007E4E72"/>
    <w:rPr>
      <w:color w:val="2B579A"/>
      <w:shd w:val="clear" w:color="auto" w:fill="E1DFDD"/>
    </w:rPr>
  </w:style>
  <w:style w:type="paragraph" w:customStyle="1" w:styleId="ResearchReportText">
    <w:name w:val="Research Report Text"/>
    <w:basedOn w:val="Normal"/>
    <w:link w:val="ResearchReportTextChar"/>
    <w:qFormat/>
    <w:rsid w:val="00A36E68"/>
    <w:pPr>
      <w:spacing w:before="120" w:after="120" w:line="276" w:lineRule="auto"/>
    </w:pPr>
    <w:rPr>
      <w:rFonts w:ascii="Arial" w:eastAsia="TheSans-B3Light" w:hAnsi="Arial" w:cs="Times New Roman"/>
      <w:kern w:val="0"/>
      <w:sz w:val="20"/>
      <w:szCs w:val="20"/>
      <w:lang w:val="en-US" w:eastAsia="en-AU"/>
      <w14:ligatures w14:val="none"/>
    </w:rPr>
  </w:style>
  <w:style w:type="character" w:customStyle="1" w:styleId="ResearchReportTextChar">
    <w:name w:val="Research Report Text Char"/>
    <w:basedOn w:val="DefaultParagraphFont"/>
    <w:link w:val="ResearchReportText"/>
    <w:rsid w:val="00A36E68"/>
    <w:rPr>
      <w:rFonts w:ascii="Arial" w:eastAsia="TheSans-B3Light" w:hAnsi="Arial" w:cs="Times New Roman"/>
      <w:kern w:val="0"/>
      <w:sz w:val="20"/>
      <w:szCs w:val="20"/>
      <w:lang w:val="en-US"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7258">
      <w:bodyDiv w:val="1"/>
      <w:marLeft w:val="0"/>
      <w:marRight w:val="0"/>
      <w:marTop w:val="0"/>
      <w:marBottom w:val="0"/>
      <w:divBdr>
        <w:top w:val="none" w:sz="0" w:space="0" w:color="auto"/>
        <w:left w:val="none" w:sz="0" w:space="0" w:color="auto"/>
        <w:bottom w:val="none" w:sz="0" w:space="0" w:color="auto"/>
        <w:right w:val="none" w:sz="0" w:space="0" w:color="auto"/>
      </w:divBdr>
    </w:div>
    <w:div w:id="375087892">
      <w:bodyDiv w:val="1"/>
      <w:marLeft w:val="0"/>
      <w:marRight w:val="0"/>
      <w:marTop w:val="0"/>
      <w:marBottom w:val="0"/>
      <w:divBdr>
        <w:top w:val="none" w:sz="0" w:space="0" w:color="auto"/>
        <w:left w:val="none" w:sz="0" w:space="0" w:color="auto"/>
        <w:bottom w:val="none" w:sz="0" w:space="0" w:color="auto"/>
        <w:right w:val="none" w:sz="0" w:space="0" w:color="auto"/>
      </w:divBdr>
    </w:div>
    <w:div w:id="508718680">
      <w:bodyDiv w:val="1"/>
      <w:marLeft w:val="0"/>
      <w:marRight w:val="0"/>
      <w:marTop w:val="0"/>
      <w:marBottom w:val="0"/>
      <w:divBdr>
        <w:top w:val="none" w:sz="0" w:space="0" w:color="auto"/>
        <w:left w:val="none" w:sz="0" w:space="0" w:color="auto"/>
        <w:bottom w:val="none" w:sz="0" w:space="0" w:color="auto"/>
        <w:right w:val="none" w:sz="0" w:space="0" w:color="auto"/>
      </w:divBdr>
    </w:div>
    <w:div w:id="694815018">
      <w:bodyDiv w:val="1"/>
      <w:marLeft w:val="0"/>
      <w:marRight w:val="0"/>
      <w:marTop w:val="0"/>
      <w:marBottom w:val="0"/>
      <w:divBdr>
        <w:top w:val="none" w:sz="0" w:space="0" w:color="auto"/>
        <w:left w:val="none" w:sz="0" w:space="0" w:color="auto"/>
        <w:bottom w:val="none" w:sz="0" w:space="0" w:color="auto"/>
        <w:right w:val="none" w:sz="0" w:space="0" w:color="auto"/>
      </w:divBdr>
    </w:div>
    <w:div w:id="840705998">
      <w:bodyDiv w:val="1"/>
      <w:marLeft w:val="0"/>
      <w:marRight w:val="0"/>
      <w:marTop w:val="0"/>
      <w:marBottom w:val="0"/>
      <w:divBdr>
        <w:top w:val="none" w:sz="0" w:space="0" w:color="auto"/>
        <w:left w:val="none" w:sz="0" w:space="0" w:color="auto"/>
        <w:bottom w:val="none" w:sz="0" w:space="0" w:color="auto"/>
        <w:right w:val="none" w:sz="0" w:space="0" w:color="auto"/>
      </w:divBdr>
    </w:div>
    <w:div w:id="1230921783">
      <w:bodyDiv w:val="1"/>
      <w:marLeft w:val="0"/>
      <w:marRight w:val="0"/>
      <w:marTop w:val="0"/>
      <w:marBottom w:val="0"/>
      <w:divBdr>
        <w:top w:val="none" w:sz="0" w:space="0" w:color="auto"/>
        <w:left w:val="none" w:sz="0" w:space="0" w:color="auto"/>
        <w:bottom w:val="none" w:sz="0" w:space="0" w:color="auto"/>
        <w:right w:val="none" w:sz="0" w:space="0" w:color="auto"/>
      </w:divBdr>
    </w:div>
    <w:div w:id="1237352380">
      <w:bodyDiv w:val="1"/>
      <w:marLeft w:val="0"/>
      <w:marRight w:val="0"/>
      <w:marTop w:val="0"/>
      <w:marBottom w:val="0"/>
      <w:divBdr>
        <w:top w:val="none" w:sz="0" w:space="0" w:color="auto"/>
        <w:left w:val="none" w:sz="0" w:space="0" w:color="auto"/>
        <w:bottom w:val="none" w:sz="0" w:space="0" w:color="auto"/>
        <w:right w:val="none" w:sz="0" w:space="0" w:color="auto"/>
      </w:divBdr>
    </w:div>
    <w:div w:id="1309671688">
      <w:bodyDiv w:val="1"/>
      <w:marLeft w:val="0"/>
      <w:marRight w:val="0"/>
      <w:marTop w:val="0"/>
      <w:marBottom w:val="0"/>
      <w:divBdr>
        <w:top w:val="none" w:sz="0" w:space="0" w:color="auto"/>
        <w:left w:val="none" w:sz="0" w:space="0" w:color="auto"/>
        <w:bottom w:val="none" w:sz="0" w:space="0" w:color="auto"/>
        <w:right w:val="none" w:sz="0" w:space="0" w:color="auto"/>
      </w:divBdr>
    </w:div>
    <w:div w:id="1476144160">
      <w:bodyDiv w:val="1"/>
      <w:marLeft w:val="0"/>
      <w:marRight w:val="0"/>
      <w:marTop w:val="0"/>
      <w:marBottom w:val="0"/>
      <w:divBdr>
        <w:top w:val="none" w:sz="0" w:space="0" w:color="auto"/>
        <w:left w:val="none" w:sz="0" w:space="0" w:color="auto"/>
        <w:bottom w:val="none" w:sz="0" w:space="0" w:color="auto"/>
        <w:right w:val="none" w:sz="0" w:space="0" w:color="auto"/>
      </w:divBdr>
    </w:div>
    <w:div w:id="1600988852">
      <w:bodyDiv w:val="1"/>
      <w:marLeft w:val="0"/>
      <w:marRight w:val="0"/>
      <w:marTop w:val="0"/>
      <w:marBottom w:val="0"/>
      <w:divBdr>
        <w:top w:val="none" w:sz="0" w:space="0" w:color="auto"/>
        <w:left w:val="none" w:sz="0" w:space="0" w:color="auto"/>
        <w:bottom w:val="none" w:sz="0" w:space="0" w:color="auto"/>
        <w:right w:val="none" w:sz="0" w:space="0" w:color="auto"/>
      </w:divBdr>
    </w:div>
    <w:div w:id="1883898876">
      <w:bodyDiv w:val="1"/>
      <w:marLeft w:val="0"/>
      <w:marRight w:val="0"/>
      <w:marTop w:val="0"/>
      <w:marBottom w:val="0"/>
      <w:divBdr>
        <w:top w:val="none" w:sz="0" w:space="0" w:color="auto"/>
        <w:left w:val="none" w:sz="0" w:space="0" w:color="auto"/>
        <w:bottom w:val="none" w:sz="0" w:space="0" w:color="auto"/>
        <w:right w:val="none" w:sz="0" w:space="0" w:color="auto"/>
      </w:divBdr>
    </w:div>
    <w:div w:id="1989020275">
      <w:bodyDiv w:val="1"/>
      <w:marLeft w:val="0"/>
      <w:marRight w:val="0"/>
      <w:marTop w:val="0"/>
      <w:marBottom w:val="0"/>
      <w:divBdr>
        <w:top w:val="none" w:sz="0" w:space="0" w:color="auto"/>
        <w:left w:val="none" w:sz="0" w:space="0" w:color="auto"/>
        <w:bottom w:val="none" w:sz="0" w:space="0" w:color="auto"/>
        <w:right w:val="none" w:sz="0" w:space="0" w:color="auto"/>
      </w:divBdr>
    </w:div>
    <w:div w:id="1992445353">
      <w:bodyDiv w:val="1"/>
      <w:marLeft w:val="0"/>
      <w:marRight w:val="0"/>
      <w:marTop w:val="0"/>
      <w:marBottom w:val="0"/>
      <w:divBdr>
        <w:top w:val="none" w:sz="0" w:space="0" w:color="auto"/>
        <w:left w:val="none" w:sz="0" w:space="0" w:color="auto"/>
        <w:bottom w:val="none" w:sz="0" w:space="0" w:color="auto"/>
        <w:right w:val="none" w:sz="0" w:space="0" w:color="auto"/>
      </w:divBdr>
    </w:div>
    <w:div w:id="2073771084">
      <w:bodyDiv w:val="1"/>
      <w:marLeft w:val="0"/>
      <w:marRight w:val="0"/>
      <w:marTop w:val="0"/>
      <w:marBottom w:val="0"/>
      <w:divBdr>
        <w:top w:val="none" w:sz="0" w:space="0" w:color="auto"/>
        <w:left w:val="none" w:sz="0" w:space="0" w:color="auto"/>
        <w:bottom w:val="none" w:sz="0" w:space="0" w:color="auto"/>
        <w:right w:val="none" w:sz="0" w:space="0" w:color="auto"/>
      </w:divBdr>
    </w:div>
    <w:div w:id="21324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ca.org.au/research/change-work" TargetMode="External"/><Relationship Id="rId18" Type="http://schemas.openxmlformats.org/officeDocument/2006/relationships/hyperlink" Target="https://support.microsoft.com/en-au/office/improve-accessibility-with-the-accessibility-checker-a16f6de0-2f39-4a2b-8bd8-5ad801426c7f" TargetMode="External"/><Relationship Id="rId26" Type="http://schemas.openxmlformats.org/officeDocument/2006/relationships/hyperlink" Target="https://www.dca.org.au/research/counting-culture-2021" TargetMode="External"/><Relationship Id="rId3" Type="http://schemas.openxmlformats.org/officeDocument/2006/relationships/customXml" Target="../customXml/item3.xml"/><Relationship Id="rId21" Type="http://schemas.openxmlformats.org/officeDocument/2006/relationships/hyperlink" Target="https://www.dca.org.au/research/data-at-wor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search@dca.org.au" TargetMode="External"/><Relationship Id="rId17" Type="http://schemas.openxmlformats.org/officeDocument/2006/relationships/hyperlink" Target="https://www.dca.org.au/research/inclusive-teams-toolkit" TargetMode="External"/><Relationship Id="rId25" Type="http://schemas.openxmlformats.org/officeDocument/2006/relationships/hyperlink" Target="https://www.dca.org.au/annual-report" TargetMode="External"/><Relationship Id="rId33" Type="http://schemas.openxmlformats.org/officeDocument/2006/relationships/hyperlink" Target="https://www.abs.gov.au/statistics/standards/standard-sex-gender-variations-sex-characteristics-and-sexual-orientation-variables" TargetMode="External"/><Relationship Id="rId2" Type="http://schemas.openxmlformats.org/officeDocument/2006/relationships/customXml" Target="../customXml/item2.xml"/><Relationship Id="rId16" Type="http://schemas.openxmlformats.org/officeDocument/2006/relationships/hyperlink" Target="https://www.dca.org.au/research/counting-culture-2021" TargetMode="External"/><Relationship Id="rId20" Type="http://schemas.openxmlformats.org/officeDocument/2006/relationships/hyperlink" Target="https://hemingwayapp.com/" TargetMode="External"/><Relationship Id="rId29" Type="http://schemas.openxmlformats.org/officeDocument/2006/relationships/hyperlink" Target="https://www.dca.org.au/research/data-a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ca.org.au/about-dca/work-with-us" TargetMode="External"/><Relationship Id="rId32" Type="http://schemas.openxmlformats.org/officeDocument/2006/relationships/hyperlink" Target="https://www.dca.org.au/research/class-at-work" TargetMode="External"/><Relationship Id="rId5" Type="http://schemas.openxmlformats.org/officeDocument/2006/relationships/numbering" Target="numbering.xml"/><Relationship Id="rId15" Type="http://schemas.openxmlformats.org/officeDocument/2006/relationships/hyperlink" Target="https://www.acon.org.au/what-we-are-here-for/policy-research/" TargetMode="External"/><Relationship Id="rId23" Type="http://schemas.openxmlformats.org/officeDocument/2006/relationships/chart" Target="charts/chart1.xml"/><Relationship Id="rId28" Type="http://schemas.openxmlformats.org/officeDocument/2006/relationships/footer" Target="footer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visionaustralia.org/business-consulting/digital-access/resources/document-accessibility-toolbar" TargetMode="External"/><Relationship Id="rId31" Type="http://schemas.openxmlformats.org/officeDocument/2006/relationships/hyperlink" Target="https://www.abs.gov.au/statistics/classifications/australian-standard-classification-religious-groups/latest-rel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a.org.au/services/inclusive-employer-index" TargetMode="External"/><Relationship Id="rId22" Type="http://schemas.openxmlformats.org/officeDocument/2006/relationships/hyperlink" Target="https://www.dca.org.au/services/inclusive-employer-index" TargetMode="External"/><Relationship Id="rId27" Type="http://schemas.openxmlformats.org/officeDocument/2006/relationships/hyperlink" Target="https://www.dca.org.au/research/class-at-work" TargetMode="External"/><Relationship Id="rId30" Type="http://schemas.openxmlformats.org/officeDocument/2006/relationships/hyperlink" Target="https://www.dca.org.au/research/counting-culture-2021"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dca.org.au/research/counting-culture-2021" TargetMode="External"/><Relationship Id="rId13" Type="http://schemas.openxmlformats.org/officeDocument/2006/relationships/hyperlink" Target="https://hbr.org/2021/04/how-one-company-worked-to-root-out-bias-from-performance-reviews" TargetMode="External"/><Relationship Id="rId3" Type="http://schemas.openxmlformats.org/officeDocument/2006/relationships/hyperlink" Target="https://hbr.org/2022/03/data-driven-diversity" TargetMode="External"/><Relationship Id="rId7" Type="http://schemas.openxmlformats.org/officeDocument/2006/relationships/hyperlink" Target="https://hbr.org/2022/03/data-driven-diversity" TargetMode="External"/><Relationship Id="rId12" Type="http://schemas.openxmlformats.org/officeDocument/2006/relationships/hyperlink" Target="https://www.dca.org.au/research/centring-marginalised-voices-at-work" TargetMode="External"/><Relationship Id="rId17" Type="http://schemas.openxmlformats.org/officeDocument/2006/relationships/hyperlink" Target="https://www.dca.org.au/research/racism-at-work" TargetMode="External"/><Relationship Id="rId2" Type="http://schemas.openxmlformats.org/officeDocument/2006/relationships/hyperlink" Target="https://www.ahri.com.au/wp-content/uploads/DEI-Report-2023.pdf?_ga=2.227440349.1332497537.1714606149-1610288404.1714606149" TargetMode="External"/><Relationship Id="rId16" Type="http://schemas.openxmlformats.org/officeDocument/2006/relationships/hyperlink" Target="https://humanrights.gov.au/our-work/age-discrimination/publications/willing-work-national-inquiry-employment-discrimination" TargetMode="External"/><Relationship Id="rId1" Type="http://schemas.openxmlformats.org/officeDocument/2006/relationships/hyperlink" Target="https://www.ahri.com.au/wp-content/uploads/DEI-Report-2023.pdf?_ga=2.227440349.1332497537.1714606149-1610288404.1714606149" TargetMode="External"/><Relationship Id="rId6" Type="http://schemas.openxmlformats.org/officeDocument/2006/relationships/hyperlink" Target="https://www.dca.org.au/research/inclusive-teams-toolkit" TargetMode="External"/><Relationship Id="rId11" Type="http://schemas.openxmlformats.org/officeDocument/2006/relationships/hyperlink" Target="https://www.dca.org.au/resources/cultural-diversity-religion/culture-and-religion-overview" TargetMode="External"/><Relationship Id="rId5" Type="http://schemas.openxmlformats.org/officeDocument/2006/relationships/hyperlink" Target="https://www.dca.org.au/research/disability-data-at-work" TargetMode="External"/><Relationship Id="rId15" Type="http://schemas.openxmlformats.org/officeDocument/2006/relationships/hyperlink" Target="https://www.dca.org.au/research/racism-at-work" TargetMode="External"/><Relationship Id="rId10" Type="http://schemas.openxmlformats.org/officeDocument/2006/relationships/hyperlink" Target="https://www.abs.gov.au/statistics/people/people-and-communities/estimates-and-characteristics-lgbti-populations-australia/latest-release" TargetMode="External"/><Relationship Id="rId4" Type="http://schemas.openxmlformats.org/officeDocument/2006/relationships/hyperlink" Target="https://hbr.org/2022/03/data-driven-diversity" TargetMode="External"/><Relationship Id="rId9" Type="http://schemas.openxmlformats.org/officeDocument/2006/relationships/hyperlink" Target="https://www.dca.org.au/research/inclusive-teams-toolkit" TargetMode="External"/><Relationship Id="rId14" Type="http://schemas.openxmlformats.org/officeDocument/2006/relationships/hyperlink" Target="https://www.dca.org.au/research/centring-marginalised-voices-at-wor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people/people-and-communities/estimates-and-characteristics-lgbti-populations-australia/latest-release" TargetMode="External"/><Relationship Id="rId2" Type="http://schemas.openxmlformats.org/officeDocument/2006/relationships/hyperlink" Target="https://www.abs.gov.au/statistics/standards/standard-sex-gender-variations-sex-characteristics-and-sexual-orientation-variables" TargetMode="External"/><Relationship Id="rId1" Type="http://schemas.openxmlformats.org/officeDocument/2006/relationships/hyperlink" Target="https://www.abs.gov.au/statistics/health/disability/disability-ageing-and-carers-australia-summary-findings/201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 I am treated as a valued and respected team member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LGBTIQ+</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Agree/Strongly Agree</c:v>
                </c:pt>
                <c:pt idx="1">
                  <c:v>Neither agree or disagree</c:v>
                </c:pt>
                <c:pt idx="2">
                  <c:v>Disagree/Strongly disagree</c:v>
                </c:pt>
              </c:strCache>
            </c:strRef>
          </c:cat>
          <c:val>
            <c:numRef>
              <c:f>Sheet1!$B$2:$B$4</c:f>
              <c:numCache>
                <c:formatCode>0%</c:formatCode>
                <c:ptCount val="3"/>
                <c:pt idx="0">
                  <c:v>0.27</c:v>
                </c:pt>
                <c:pt idx="1">
                  <c:v>0.32</c:v>
                </c:pt>
                <c:pt idx="2">
                  <c:v>0.41</c:v>
                </c:pt>
              </c:numCache>
            </c:numRef>
          </c:val>
          <c:extLst>
            <c:ext xmlns:c16="http://schemas.microsoft.com/office/drawing/2014/chart" uri="{C3380CC4-5D6E-409C-BE32-E72D297353CC}">
              <c16:uniqueId val="{00000000-3824-4F72-81F7-5AB413761AAD}"/>
            </c:ext>
          </c:extLst>
        </c:ser>
        <c:ser>
          <c:idx val="1"/>
          <c:order val="1"/>
          <c:tx>
            <c:strRef>
              <c:f>Sheet1!$C$1</c:f>
              <c:strCache>
                <c:ptCount val="1"/>
                <c:pt idx="0">
                  <c:v>Non-LGBTIQ+</c:v>
                </c:pt>
              </c:strCache>
            </c:strRef>
          </c:tx>
          <c:spPr>
            <a:solidFill>
              <a:srgbClr val="6CBCB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Agree/Strongly Agree</c:v>
                </c:pt>
                <c:pt idx="1">
                  <c:v>Neither agree or disagree</c:v>
                </c:pt>
                <c:pt idx="2">
                  <c:v>Disagree/Strongly disagree</c:v>
                </c:pt>
              </c:strCache>
            </c:strRef>
          </c:cat>
          <c:val>
            <c:numRef>
              <c:f>Sheet1!$C$2:$C$4</c:f>
              <c:numCache>
                <c:formatCode>0%</c:formatCode>
                <c:ptCount val="3"/>
                <c:pt idx="0">
                  <c:v>0.65</c:v>
                </c:pt>
                <c:pt idx="1">
                  <c:v>0.14000000000000001</c:v>
                </c:pt>
                <c:pt idx="2">
                  <c:v>0.21</c:v>
                </c:pt>
              </c:numCache>
            </c:numRef>
          </c:val>
          <c:extLst>
            <c:ext xmlns:c16="http://schemas.microsoft.com/office/drawing/2014/chart" uri="{C3380CC4-5D6E-409C-BE32-E72D297353CC}">
              <c16:uniqueId val="{00000001-3824-4F72-81F7-5AB413761AAD}"/>
            </c:ext>
          </c:extLst>
        </c:ser>
        <c:dLbls>
          <c:showLegendKey val="0"/>
          <c:showVal val="0"/>
          <c:showCatName val="0"/>
          <c:showSerName val="0"/>
          <c:showPercent val="0"/>
          <c:showBubbleSize val="0"/>
        </c:dLbls>
        <c:gapWidth val="150"/>
        <c:overlap val="100"/>
        <c:axId val="1173686623"/>
        <c:axId val="1173697663"/>
      </c:barChart>
      <c:catAx>
        <c:axId val="1173686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3697663"/>
        <c:crosses val="autoZero"/>
        <c:auto val="1"/>
        <c:lblAlgn val="ctr"/>
        <c:lblOffset val="100"/>
        <c:noMultiLvlLbl val="0"/>
      </c:catAx>
      <c:valAx>
        <c:axId val="11736976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368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AE62D37E-BCE8-4D16-A504-5DFCDB21F03C}">
    <t:Anchor>
      <t:Comment id="589861328"/>
    </t:Anchor>
    <t:History>
      <t:Event id="{41BBD593-2F87-438D-9C04-CD3077A69B39}" time="2025-02-09T03:28:08.835Z">
        <t:Attribution userId="S::jane@dca.org.au::95260e10-966d-4c6e-8e93-052bb66fc83b" userProvider="AD" userName="Jane O’Leary (she/her)"/>
        <t:Anchor>
          <t:Comment id="589861328"/>
        </t:Anchor>
        <t:Create/>
      </t:Event>
      <t:Event id="{2A6628D0-2216-4709-B45E-851DF4714367}" time="2025-02-09T03:28:08.835Z">
        <t:Attribution userId="S::jane@dca.org.au::95260e10-966d-4c6e-8e93-052bb66fc83b" userProvider="AD" userName="Jane O’Leary (she/her)"/>
        <t:Anchor>
          <t:Comment id="589861328"/>
        </t:Anchor>
        <t:Assign userId="S::Farhana@dca.org.au::965f4e94-1024-4646-873a-f991c9fc19e2" userProvider="AD" userName="Farhana Laffernis (she/her)"/>
      </t:Event>
      <t:Event id="{D527708E-4044-4D9B-96B6-15C7B4E83ECF}" time="2025-02-09T03:28:08.835Z">
        <t:Attribution userId="S::jane@dca.org.au::95260e10-966d-4c6e-8e93-052bb66fc83b" userProvider="AD" userName="Jane O’Leary (she/her)"/>
        <t:Anchor>
          <t:Comment id="589861328"/>
        </t:Anchor>
        <t:SetTitle title="@Farhana Laffernis (she/her) and @Deborah Wu (she/her) could you please review this and update it in the next couple of months once we land on new terminology? Thanks!"/>
      </t:Event>
      <t:Event id="{386567AF-D53E-45D1-917A-7EAD2B40B968}" time="2025-02-09T23:53:28.71Z">
        <t:Attribution userId="S::Deborah.Wu@dca.org.au::952ccb15-418d-43b0-a856-366d92ef7dfb" userProvider="AD" userName="Deborah Wu (she/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80E1D1C4A7774FA96DE147EA198403" ma:contentTypeVersion="17" ma:contentTypeDescription="Create a new document." ma:contentTypeScope="" ma:versionID="92f45437f694197c1fa6c64a1e20133a">
  <xsd:schema xmlns:xsd="http://www.w3.org/2001/XMLSchema" xmlns:xs="http://www.w3.org/2001/XMLSchema" xmlns:p="http://schemas.microsoft.com/office/2006/metadata/properties" xmlns:ns2="a2f75d52-bbdb-4487-84b0-bad780082e99" xmlns:ns3="23d324c5-bd47-4845-b8bb-a13d10331d6d" xmlns:ns4="c838b492-c0da-4a78-9bd2-c5f1c59c29f5" targetNamespace="http://schemas.microsoft.com/office/2006/metadata/properties" ma:root="true" ma:fieldsID="44fb45c582a51531beafb2db9fefd83a" ns2:_="" ns3:_="" ns4:_="">
    <xsd:import namespace="a2f75d52-bbdb-4487-84b0-bad780082e99"/>
    <xsd:import namespace="23d324c5-bd47-4845-b8bb-a13d10331d6d"/>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75d52-bbdb-4487-84b0-bad78008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324c5-bd47-4845-b8bb-a13d10331d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a2f75d52-bbdb-4487-84b0-bad780082e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BA44D-B526-4FAE-B325-8C77753ADA4D}">
  <ds:schemaRefs>
    <ds:schemaRef ds:uri="http://schemas.openxmlformats.org/officeDocument/2006/bibliography"/>
  </ds:schemaRefs>
</ds:datastoreItem>
</file>

<file path=customXml/itemProps2.xml><?xml version="1.0" encoding="utf-8"?>
<ds:datastoreItem xmlns:ds="http://schemas.openxmlformats.org/officeDocument/2006/customXml" ds:itemID="{6303E55F-4794-487D-B589-3E286493A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75d52-bbdb-4487-84b0-bad780082e99"/>
    <ds:schemaRef ds:uri="23d324c5-bd47-4845-b8bb-a13d10331d6d"/>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197D0-33B4-4AF1-9691-AF4DBA603061}">
  <ds:schemaRefs>
    <ds:schemaRef ds:uri="http://schemas.microsoft.com/office/2006/metadata/properties"/>
    <ds:schemaRef ds:uri="http://schemas.microsoft.com/office/infopath/2007/PartnerControls"/>
    <ds:schemaRef ds:uri="c838b492-c0da-4a78-9bd2-c5f1c59c29f5"/>
    <ds:schemaRef ds:uri="a2f75d52-bbdb-4487-84b0-bad780082e99"/>
  </ds:schemaRefs>
</ds:datastoreItem>
</file>

<file path=customXml/itemProps4.xml><?xml version="1.0" encoding="utf-8"?>
<ds:datastoreItem xmlns:ds="http://schemas.openxmlformats.org/officeDocument/2006/customXml" ds:itemID="{148046F5-CCC4-48F8-AC74-7AF32F3DB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12307</Words>
  <Characters>70154</Characters>
  <Application>Microsoft Office Word</Application>
  <DocSecurity>12</DocSecurity>
  <Lines>584</Lines>
  <Paragraphs>164</Paragraphs>
  <ScaleCrop>false</ScaleCrop>
  <Company/>
  <LinksUpToDate>false</LinksUpToDate>
  <CharactersWithSpaces>82297</CharactersWithSpaces>
  <SharedDoc>false</SharedDoc>
  <HLinks>
    <vt:vector size="312" baseType="variant">
      <vt:variant>
        <vt:i4>6881393</vt:i4>
      </vt:variant>
      <vt:variant>
        <vt:i4>129</vt:i4>
      </vt:variant>
      <vt:variant>
        <vt:i4>0</vt:i4>
      </vt:variant>
      <vt:variant>
        <vt:i4>5</vt:i4>
      </vt:variant>
      <vt:variant>
        <vt:lpwstr>https://www.abs.gov.au/statistics/standards/standard-sex-gender-variations-sex-characteristics-and-sexual-orientation-variables</vt:lpwstr>
      </vt:variant>
      <vt:variant>
        <vt:lpwstr/>
      </vt:variant>
      <vt:variant>
        <vt:i4>4390987</vt:i4>
      </vt:variant>
      <vt:variant>
        <vt:i4>126</vt:i4>
      </vt:variant>
      <vt:variant>
        <vt:i4>0</vt:i4>
      </vt:variant>
      <vt:variant>
        <vt:i4>5</vt:i4>
      </vt:variant>
      <vt:variant>
        <vt:lpwstr>https://www.dca.org.au/research/class-at-work</vt:lpwstr>
      </vt:variant>
      <vt:variant>
        <vt:lpwstr/>
      </vt:variant>
      <vt:variant>
        <vt:i4>4849689</vt:i4>
      </vt:variant>
      <vt:variant>
        <vt:i4>123</vt:i4>
      </vt:variant>
      <vt:variant>
        <vt:i4>0</vt:i4>
      </vt:variant>
      <vt:variant>
        <vt:i4>5</vt:i4>
      </vt:variant>
      <vt:variant>
        <vt:lpwstr>https://www.abs.gov.au/statistics/classifications/australian-standard-classification-religious-groups/latest-release</vt:lpwstr>
      </vt:variant>
      <vt:variant>
        <vt:lpwstr/>
      </vt:variant>
      <vt:variant>
        <vt:i4>1048662</vt:i4>
      </vt:variant>
      <vt:variant>
        <vt:i4>120</vt:i4>
      </vt:variant>
      <vt:variant>
        <vt:i4>0</vt:i4>
      </vt:variant>
      <vt:variant>
        <vt:i4>5</vt:i4>
      </vt:variant>
      <vt:variant>
        <vt:lpwstr>https://www.dca.org.au/research/counting-culture-2021</vt:lpwstr>
      </vt:variant>
      <vt:variant>
        <vt:lpwstr/>
      </vt:variant>
      <vt:variant>
        <vt:i4>2228276</vt:i4>
      </vt:variant>
      <vt:variant>
        <vt:i4>117</vt:i4>
      </vt:variant>
      <vt:variant>
        <vt:i4>0</vt:i4>
      </vt:variant>
      <vt:variant>
        <vt:i4>5</vt:i4>
      </vt:variant>
      <vt:variant>
        <vt:lpwstr>https://www.dca.org.au/research/data-at-work</vt:lpwstr>
      </vt:variant>
      <vt:variant>
        <vt:lpwstr>infographic</vt:lpwstr>
      </vt:variant>
      <vt:variant>
        <vt:i4>4390987</vt:i4>
      </vt:variant>
      <vt:variant>
        <vt:i4>114</vt:i4>
      </vt:variant>
      <vt:variant>
        <vt:i4>0</vt:i4>
      </vt:variant>
      <vt:variant>
        <vt:i4>5</vt:i4>
      </vt:variant>
      <vt:variant>
        <vt:lpwstr>https://www.dca.org.au/research/class-at-work</vt:lpwstr>
      </vt:variant>
      <vt:variant>
        <vt:lpwstr/>
      </vt:variant>
      <vt:variant>
        <vt:i4>1048662</vt:i4>
      </vt:variant>
      <vt:variant>
        <vt:i4>111</vt:i4>
      </vt:variant>
      <vt:variant>
        <vt:i4>0</vt:i4>
      </vt:variant>
      <vt:variant>
        <vt:i4>5</vt:i4>
      </vt:variant>
      <vt:variant>
        <vt:lpwstr>https://www.dca.org.au/research/counting-culture-2021</vt:lpwstr>
      </vt:variant>
      <vt:variant>
        <vt:lpwstr/>
      </vt:variant>
      <vt:variant>
        <vt:i4>1114116</vt:i4>
      </vt:variant>
      <vt:variant>
        <vt:i4>108</vt:i4>
      </vt:variant>
      <vt:variant>
        <vt:i4>0</vt:i4>
      </vt:variant>
      <vt:variant>
        <vt:i4>5</vt:i4>
      </vt:variant>
      <vt:variant>
        <vt:lpwstr>https://www.dca.org.au/annual-report</vt:lpwstr>
      </vt:variant>
      <vt:variant>
        <vt:lpwstr/>
      </vt:variant>
      <vt:variant>
        <vt:i4>983135</vt:i4>
      </vt:variant>
      <vt:variant>
        <vt:i4>105</vt:i4>
      </vt:variant>
      <vt:variant>
        <vt:i4>0</vt:i4>
      </vt:variant>
      <vt:variant>
        <vt:i4>5</vt:i4>
      </vt:variant>
      <vt:variant>
        <vt:lpwstr>https://www.dca.org.au/about-dca/work-with-us</vt:lpwstr>
      </vt:variant>
      <vt:variant>
        <vt:lpwstr/>
      </vt:variant>
      <vt:variant>
        <vt:i4>5963850</vt:i4>
      </vt:variant>
      <vt:variant>
        <vt:i4>102</vt:i4>
      </vt:variant>
      <vt:variant>
        <vt:i4>0</vt:i4>
      </vt:variant>
      <vt:variant>
        <vt:i4>5</vt:i4>
      </vt:variant>
      <vt:variant>
        <vt:lpwstr>https://www.dca.org.au/services/inclusive-employer-index</vt:lpwstr>
      </vt:variant>
      <vt:variant>
        <vt:lpwstr/>
      </vt:variant>
      <vt:variant>
        <vt:i4>2228276</vt:i4>
      </vt:variant>
      <vt:variant>
        <vt:i4>99</vt:i4>
      </vt:variant>
      <vt:variant>
        <vt:i4>0</vt:i4>
      </vt:variant>
      <vt:variant>
        <vt:i4>5</vt:i4>
      </vt:variant>
      <vt:variant>
        <vt:lpwstr>https://www.dca.org.au/research/data-at-work</vt:lpwstr>
      </vt:variant>
      <vt:variant>
        <vt:lpwstr>infographic</vt:lpwstr>
      </vt:variant>
      <vt:variant>
        <vt:i4>262164</vt:i4>
      </vt:variant>
      <vt:variant>
        <vt:i4>96</vt:i4>
      </vt:variant>
      <vt:variant>
        <vt:i4>0</vt:i4>
      </vt:variant>
      <vt:variant>
        <vt:i4>5</vt:i4>
      </vt:variant>
      <vt:variant>
        <vt:lpwstr>https://hemingwayapp.com/</vt:lpwstr>
      </vt:variant>
      <vt:variant>
        <vt:lpwstr/>
      </vt:variant>
      <vt:variant>
        <vt:i4>7733364</vt:i4>
      </vt:variant>
      <vt:variant>
        <vt:i4>93</vt:i4>
      </vt:variant>
      <vt:variant>
        <vt:i4>0</vt:i4>
      </vt:variant>
      <vt:variant>
        <vt:i4>5</vt:i4>
      </vt:variant>
      <vt:variant>
        <vt:lpwstr>https://visionaustralia.org/business-consulting/digital-access/resources/document-accessibility-toolbar</vt:lpwstr>
      </vt:variant>
      <vt:variant>
        <vt:lpwstr/>
      </vt:variant>
      <vt:variant>
        <vt:i4>1572879</vt:i4>
      </vt:variant>
      <vt:variant>
        <vt:i4>90</vt:i4>
      </vt:variant>
      <vt:variant>
        <vt:i4>0</vt:i4>
      </vt:variant>
      <vt:variant>
        <vt:i4>5</vt:i4>
      </vt:variant>
      <vt:variant>
        <vt:lpwstr>https://support.microsoft.com/en-au/office/improve-accessibility-with-the-accessibility-checker-a16f6de0-2f39-4a2b-8bd8-5ad801426c7f</vt:lpwstr>
      </vt:variant>
      <vt:variant>
        <vt:lpwstr/>
      </vt:variant>
      <vt:variant>
        <vt:i4>6619260</vt:i4>
      </vt:variant>
      <vt:variant>
        <vt:i4>87</vt:i4>
      </vt:variant>
      <vt:variant>
        <vt:i4>0</vt:i4>
      </vt:variant>
      <vt:variant>
        <vt:i4>5</vt:i4>
      </vt:variant>
      <vt:variant>
        <vt:lpwstr>https://www.dca.org.au/research/inclusive-teams-toolkit</vt:lpwstr>
      </vt:variant>
      <vt:variant>
        <vt:lpwstr/>
      </vt:variant>
      <vt:variant>
        <vt:i4>1048662</vt:i4>
      </vt:variant>
      <vt:variant>
        <vt:i4>84</vt:i4>
      </vt:variant>
      <vt:variant>
        <vt:i4>0</vt:i4>
      </vt:variant>
      <vt:variant>
        <vt:i4>5</vt:i4>
      </vt:variant>
      <vt:variant>
        <vt:lpwstr>https://www.dca.org.au/research/counting-culture-2021</vt:lpwstr>
      </vt:variant>
      <vt:variant>
        <vt:lpwstr/>
      </vt:variant>
      <vt:variant>
        <vt:i4>7995446</vt:i4>
      </vt:variant>
      <vt:variant>
        <vt:i4>81</vt:i4>
      </vt:variant>
      <vt:variant>
        <vt:i4>0</vt:i4>
      </vt:variant>
      <vt:variant>
        <vt:i4>5</vt:i4>
      </vt:variant>
      <vt:variant>
        <vt:lpwstr>https://www.acon.org.au/what-we-are-here-for/policy-research/</vt:lpwstr>
      </vt:variant>
      <vt:variant>
        <vt:lpwstr>recommended-sexuality-and-gender-indicators</vt:lpwstr>
      </vt:variant>
      <vt:variant>
        <vt:i4>5963850</vt:i4>
      </vt:variant>
      <vt:variant>
        <vt:i4>78</vt:i4>
      </vt:variant>
      <vt:variant>
        <vt:i4>0</vt:i4>
      </vt:variant>
      <vt:variant>
        <vt:i4>5</vt:i4>
      </vt:variant>
      <vt:variant>
        <vt:lpwstr>https://www.dca.org.au/services/inclusive-employer-index</vt:lpwstr>
      </vt:variant>
      <vt:variant>
        <vt:lpwstr/>
      </vt:variant>
      <vt:variant>
        <vt:i4>6684734</vt:i4>
      </vt:variant>
      <vt:variant>
        <vt:i4>75</vt:i4>
      </vt:variant>
      <vt:variant>
        <vt:i4>0</vt:i4>
      </vt:variant>
      <vt:variant>
        <vt:i4>5</vt:i4>
      </vt:variant>
      <vt:variant>
        <vt:lpwstr>https://www.dca.org.au/research/change-work</vt:lpwstr>
      </vt:variant>
      <vt:variant>
        <vt:lpwstr/>
      </vt:variant>
      <vt:variant>
        <vt:i4>1048624</vt:i4>
      </vt:variant>
      <vt:variant>
        <vt:i4>68</vt:i4>
      </vt:variant>
      <vt:variant>
        <vt:i4>0</vt:i4>
      </vt:variant>
      <vt:variant>
        <vt:i4>5</vt:i4>
      </vt:variant>
      <vt:variant>
        <vt:lpwstr/>
      </vt:variant>
      <vt:variant>
        <vt:lpwstr>_Toc193468427</vt:lpwstr>
      </vt:variant>
      <vt:variant>
        <vt:i4>1048624</vt:i4>
      </vt:variant>
      <vt:variant>
        <vt:i4>62</vt:i4>
      </vt:variant>
      <vt:variant>
        <vt:i4>0</vt:i4>
      </vt:variant>
      <vt:variant>
        <vt:i4>5</vt:i4>
      </vt:variant>
      <vt:variant>
        <vt:lpwstr/>
      </vt:variant>
      <vt:variant>
        <vt:lpwstr>_Toc193468426</vt:lpwstr>
      </vt:variant>
      <vt:variant>
        <vt:i4>1048624</vt:i4>
      </vt:variant>
      <vt:variant>
        <vt:i4>56</vt:i4>
      </vt:variant>
      <vt:variant>
        <vt:i4>0</vt:i4>
      </vt:variant>
      <vt:variant>
        <vt:i4>5</vt:i4>
      </vt:variant>
      <vt:variant>
        <vt:lpwstr/>
      </vt:variant>
      <vt:variant>
        <vt:lpwstr>_Toc193468425</vt:lpwstr>
      </vt:variant>
      <vt:variant>
        <vt:i4>1048624</vt:i4>
      </vt:variant>
      <vt:variant>
        <vt:i4>50</vt:i4>
      </vt:variant>
      <vt:variant>
        <vt:i4>0</vt:i4>
      </vt:variant>
      <vt:variant>
        <vt:i4>5</vt:i4>
      </vt:variant>
      <vt:variant>
        <vt:lpwstr/>
      </vt:variant>
      <vt:variant>
        <vt:lpwstr>_Toc193468424</vt:lpwstr>
      </vt:variant>
      <vt:variant>
        <vt:i4>1048624</vt:i4>
      </vt:variant>
      <vt:variant>
        <vt:i4>44</vt:i4>
      </vt:variant>
      <vt:variant>
        <vt:i4>0</vt:i4>
      </vt:variant>
      <vt:variant>
        <vt:i4>5</vt:i4>
      </vt:variant>
      <vt:variant>
        <vt:lpwstr/>
      </vt:variant>
      <vt:variant>
        <vt:lpwstr>_Toc193468423</vt:lpwstr>
      </vt:variant>
      <vt:variant>
        <vt:i4>1048624</vt:i4>
      </vt:variant>
      <vt:variant>
        <vt:i4>38</vt:i4>
      </vt:variant>
      <vt:variant>
        <vt:i4>0</vt:i4>
      </vt:variant>
      <vt:variant>
        <vt:i4>5</vt:i4>
      </vt:variant>
      <vt:variant>
        <vt:lpwstr/>
      </vt:variant>
      <vt:variant>
        <vt:lpwstr>_Toc193468422</vt:lpwstr>
      </vt:variant>
      <vt:variant>
        <vt:i4>1048624</vt:i4>
      </vt:variant>
      <vt:variant>
        <vt:i4>32</vt:i4>
      </vt:variant>
      <vt:variant>
        <vt:i4>0</vt:i4>
      </vt:variant>
      <vt:variant>
        <vt:i4>5</vt:i4>
      </vt:variant>
      <vt:variant>
        <vt:lpwstr/>
      </vt:variant>
      <vt:variant>
        <vt:lpwstr>_Toc193468421</vt:lpwstr>
      </vt:variant>
      <vt:variant>
        <vt:i4>1048624</vt:i4>
      </vt:variant>
      <vt:variant>
        <vt:i4>26</vt:i4>
      </vt:variant>
      <vt:variant>
        <vt:i4>0</vt:i4>
      </vt:variant>
      <vt:variant>
        <vt:i4>5</vt:i4>
      </vt:variant>
      <vt:variant>
        <vt:lpwstr/>
      </vt:variant>
      <vt:variant>
        <vt:lpwstr>_Toc193468420</vt:lpwstr>
      </vt:variant>
      <vt:variant>
        <vt:i4>1245232</vt:i4>
      </vt:variant>
      <vt:variant>
        <vt:i4>20</vt:i4>
      </vt:variant>
      <vt:variant>
        <vt:i4>0</vt:i4>
      </vt:variant>
      <vt:variant>
        <vt:i4>5</vt:i4>
      </vt:variant>
      <vt:variant>
        <vt:lpwstr/>
      </vt:variant>
      <vt:variant>
        <vt:lpwstr>_Toc193468419</vt:lpwstr>
      </vt:variant>
      <vt:variant>
        <vt:i4>1245232</vt:i4>
      </vt:variant>
      <vt:variant>
        <vt:i4>14</vt:i4>
      </vt:variant>
      <vt:variant>
        <vt:i4>0</vt:i4>
      </vt:variant>
      <vt:variant>
        <vt:i4>5</vt:i4>
      </vt:variant>
      <vt:variant>
        <vt:lpwstr/>
      </vt:variant>
      <vt:variant>
        <vt:lpwstr>_Toc193468418</vt:lpwstr>
      </vt:variant>
      <vt:variant>
        <vt:i4>1245232</vt:i4>
      </vt:variant>
      <vt:variant>
        <vt:i4>8</vt:i4>
      </vt:variant>
      <vt:variant>
        <vt:i4>0</vt:i4>
      </vt:variant>
      <vt:variant>
        <vt:i4>5</vt:i4>
      </vt:variant>
      <vt:variant>
        <vt:lpwstr/>
      </vt:variant>
      <vt:variant>
        <vt:lpwstr>_Toc193468417</vt:lpwstr>
      </vt:variant>
      <vt:variant>
        <vt:i4>1245232</vt:i4>
      </vt:variant>
      <vt:variant>
        <vt:i4>5</vt:i4>
      </vt:variant>
      <vt:variant>
        <vt:i4>0</vt:i4>
      </vt:variant>
      <vt:variant>
        <vt:i4>5</vt:i4>
      </vt:variant>
      <vt:variant>
        <vt:lpwstr/>
      </vt:variant>
      <vt:variant>
        <vt:lpwstr>_Toc193468414</vt:lpwstr>
      </vt:variant>
      <vt:variant>
        <vt:i4>4522044</vt:i4>
      </vt:variant>
      <vt:variant>
        <vt:i4>0</vt:i4>
      </vt:variant>
      <vt:variant>
        <vt:i4>0</vt:i4>
      </vt:variant>
      <vt:variant>
        <vt:i4>5</vt:i4>
      </vt:variant>
      <vt:variant>
        <vt:lpwstr>mailto:research@dca.org.au</vt:lpwstr>
      </vt:variant>
      <vt:variant>
        <vt:lpwstr/>
      </vt:variant>
      <vt:variant>
        <vt:i4>7405682</vt:i4>
      </vt:variant>
      <vt:variant>
        <vt:i4>6</vt:i4>
      </vt:variant>
      <vt:variant>
        <vt:i4>0</vt:i4>
      </vt:variant>
      <vt:variant>
        <vt:i4>5</vt:i4>
      </vt:variant>
      <vt:variant>
        <vt:lpwstr>https://www.abs.gov.au/statistics/people/people-and-communities/estimates-and-characteristics-lgbti-populations-australia/latest-release</vt:lpwstr>
      </vt:variant>
      <vt:variant>
        <vt:lpwstr>key-statistics</vt:lpwstr>
      </vt:variant>
      <vt:variant>
        <vt:i4>6881393</vt:i4>
      </vt:variant>
      <vt:variant>
        <vt:i4>3</vt:i4>
      </vt:variant>
      <vt:variant>
        <vt:i4>0</vt:i4>
      </vt:variant>
      <vt:variant>
        <vt:i4>5</vt:i4>
      </vt:variant>
      <vt:variant>
        <vt:lpwstr>https://www.abs.gov.au/statistics/standards/standard-sex-gender-variations-sex-characteristics-and-sexual-orientation-variables</vt:lpwstr>
      </vt:variant>
      <vt:variant>
        <vt:lpwstr/>
      </vt:variant>
      <vt:variant>
        <vt:i4>1572949</vt:i4>
      </vt:variant>
      <vt:variant>
        <vt:i4>0</vt:i4>
      </vt:variant>
      <vt:variant>
        <vt:i4>0</vt:i4>
      </vt:variant>
      <vt:variant>
        <vt:i4>5</vt:i4>
      </vt:variant>
      <vt:variant>
        <vt:lpwstr>https://www.abs.gov.au/statistics/health/disability/disability-ageing-and-carers-australia-summary-findings/2018</vt:lpwstr>
      </vt:variant>
      <vt:variant>
        <vt:lpwstr/>
      </vt:variant>
      <vt:variant>
        <vt:i4>2949159</vt:i4>
      </vt:variant>
      <vt:variant>
        <vt:i4>48</vt:i4>
      </vt:variant>
      <vt:variant>
        <vt:i4>0</vt:i4>
      </vt:variant>
      <vt:variant>
        <vt:i4>5</vt:i4>
      </vt:variant>
      <vt:variant>
        <vt:lpwstr>https://www.dca.org.au/research/racism-at-work</vt:lpwstr>
      </vt:variant>
      <vt:variant>
        <vt:lpwstr/>
      </vt:variant>
      <vt:variant>
        <vt:i4>7733367</vt:i4>
      </vt:variant>
      <vt:variant>
        <vt:i4>45</vt:i4>
      </vt:variant>
      <vt:variant>
        <vt:i4>0</vt:i4>
      </vt:variant>
      <vt:variant>
        <vt:i4>5</vt:i4>
      </vt:variant>
      <vt:variant>
        <vt:lpwstr>https://humanrights.gov.au/our-work/age-discrimination/publications/willing-work-national-inquiry-employment-discrimination</vt:lpwstr>
      </vt:variant>
      <vt:variant>
        <vt:lpwstr/>
      </vt:variant>
      <vt:variant>
        <vt:i4>2949159</vt:i4>
      </vt:variant>
      <vt:variant>
        <vt:i4>42</vt:i4>
      </vt:variant>
      <vt:variant>
        <vt:i4>0</vt:i4>
      </vt:variant>
      <vt:variant>
        <vt:i4>5</vt:i4>
      </vt:variant>
      <vt:variant>
        <vt:lpwstr>https://www.dca.org.au/research/racism-at-work</vt:lpwstr>
      </vt:variant>
      <vt:variant>
        <vt:lpwstr/>
      </vt:variant>
      <vt:variant>
        <vt:i4>1966096</vt:i4>
      </vt:variant>
      <vt:variant>
        <vt:i4>39</vt:i4>
      </vt:variant>
      <vt:variant>
        <vt:i4>0</vt:i4>
      </vt:variant>
      <vt:variant>
        <vt:i4>5</vt:i4>
      </vt:variant>
      <vt:variant>
        <vt:lpwstr>https://www.dca.org.au/research/centring-marginalised-voices-at-work</vt:lpwstr>
      </vt:variant>
      <vt:variant>
        <vt:lpwstr/>
      </vt:variant>
      <vt:variant>
        <vt:i4>5373979</vt:i4>
      </vt:variant>
      <vt:variant>
        <vt:i4>36</vt:i4>
      </vt:variant>
      <vt:variant>
        <vt:i4>0</vt:i4>
      </vt:variant>
      <vt:variant>
        <vt:i4>5</vt:i4>
      </vt:variant>
      <vt:variant>
        <vt:lpwstr>https://hbr.org/2021/04/how-one-company-worked-to-root-out-bias-from-performance-reviews</vt:lpwstr>
      </vt:variant>
      <vt:variant>
        <vt:lpwstr/>
      </vt:variant>
      <vt:variant>
        <vt:i4>1966096</vt:i4>
      </vt:variant>
      <vt:variant>
        <vt:i4>33</vt:i4>
      </vt:variant>
      <vt:variant>
        <vt:i4>0</vt:i4>
      </vt:variant>
      <vt:variant>
        <vt:i4>5</vt:i4>
      </vt:variant>
      <vt:variant>
        <vt:lpwstr>https://www.dca.org.au/research/centring-marginalised-voices-at-work</vt:lpwstr>
      </vt:variant>
      <vt:variant>
        <vt:lpwstr/>
      </vt:variant>
      <vt:variant>
        <vt:i4>6815848</vt:i4>
      </vt:variant>
      <vt:variant>
        <vt:i4>30</vt:i4>
      </vt:variant>
      <vt:variant>
        <vt:i4>0</vt:i4>
      </vt:variant>
      <vt:variant>
        <vt:i4>5</vt:i4>
      </vt:variant>
      <vt:variant>
        <vt:lpwstr>https://www.dca.org.au/resources/cultural-diversity-religion/culture-and-religion-overview</vt:lpwstr>
      </vt:variant>
      <vt:variant>
        <vt:lpwstr/>
      </vt:variant>
      <vt:variant>
        <vt:i4>7405682</vt:i4>
      </vt:variant>
      <vt:variant>
        <vt:i4>27</vt:i4>
      </vt:variant>
      <vt:variant>
        <vt:i4>0</vt:i4>
      </vt:variant>
      <vt:variant>
        <vt:i4>5</vt:i4>
      </vt:variant>
      <vt:variant>
        <vt:lpwstr>https://www.abs.gov.au/statistics/people/people-and-communities/estimates-and-characteristics-lgbti-populations-australia/latest-release</vt:lpwstr>
      </vt:variant>
      <vt:variant>
        <vt:lpwstr>key-statistics</vt:lpwstr>
      </vt:variant>
      <vt:variant>
        <vt:i4>8126501</vt:i4>
      </vt:variant>
      <vt:variant>
        <vt:i4>24</vt:i4>
      </vt:variant>
      <vt:variant>
        <vt:i4>0</vt:i4>
      </vt:variant>
      <vt:variant>
        <vt:i4>5</vt:i4>
      </vt:variant>
      <vt:variant>
        <vt:lpwstr>https://www.dca.org.au/research/inclusive-teams-toolkit</vt:lpwstr>
      </vt:variant>
      <vt:variant>
        <vt:lpwstr>:~:text=Lever%202%3A%20Inclusive%20Communication</vt:lpwstr>
      </vt:variant>
      <vt:variant>
        <vt:i4>1048662</vt:i4>
      </vt:variant>
      <vt:variant>
        <vt:i4>21</vt:i4>
      </vt:variant>
      <vt:variant>
        <vt:i4>0</vt:i4>
      </vt:variant>
      <vt:variant>
        <vt:i4>5</vt:i4>
      </vt:variant>
      <vt:variant>
        <vt:lpwstr>https://www.dca.org.au/research/counting-culture-2021</vt:lpwstr>
      </vt:variant>
      <vt:variant>
        <vt:lpwstr/>
      </vt:variant>
      <vt:variant>
        <vt:i4>5439504</vt:i4>
      </vt:variant>
      <vt:variant>
        <vt:i4>18</vt:i4>
      </vt:variant>
      <vt:variant>
        <vt:i4>0</vt:i4>
      </vt:variant>
      <vt:variant>
        <vt:i4>5</vt:i4>
      </vt:variant>
      <vt:variant>
        <vt:lpwstr>https://hbr.org/2022/03/data-driven-diversity</vt:lpwstr>
      </vt:variant>
      <vt:variant>
        <vt:lpwstr/>
      </vt:variant>
      <vt:variant>
        <vt:i4>8126501</vt:i4>
      </vt:variant>
      <vt:variant>
        <vt:i4>15</vt:i4>
      </vt:variant>
      <vt:variant>
        <vt:i4>0</vt:i4>
      </vt:variant>
      <vt:variant>
        <vt:i4>5</vt:i4>
      </vt:variant>
      <vt:variant>
        <vt:lpwstr>https://www.dca.org.au/research/inclusive-teams-toolkit</vt:lpwstr>
      </vt:variant>
      <vt:variant>
        <vt:lpwstr>:~:text=Lever%202%3A%20Inclusive%20Communication</vt:lpwstr>
      </vt:variant>
      <vt:variant>
        <vt:i4>3997818</vt:i4>
      </vt:variant>
      <vt:variant>
        <vt:i4>12</vt:i4>
      </vt:variant>
      <vt:variant>
        <vt:i4>0</vt:i4>
      </vt:variant>
      <vt:variant>
        <vt:i4>5</vt:i4>
      </vt:variant>
      <vt:variant>
        <vt:lpwstr>https://www.dca.org.au/research/disability-data-at-work</vt:lpwstr>
      </vt:variant>
      <vt:variant>
        <vt:lpwstr/>
      </vt:variant>
      <vt:variant>
        <vt:i4>5439504</vt:i4>
      </vt:variant>
      <vt:variant>
        <vt:i4>9</vt:i4>
      </vt:variant>
      <vt:variant>
        <vt:i4>0</vt:i4>
      </vt:variant>
      <vt:variant>
        <vt:i4>5</vt:i4>
      </vt:variant>
      <vt:variant>
        <vt:lpwstr>https://hbr.org/2022/03/data-driven-diversity</vt:lpwstr>
      </vt:variant>
      <vt:variant>
        <vt:lpwstr/>
      </vt:variant>
      <vt:variant>
        <vt:i4>5439504</vt:i4>
      </vt:variant>
      <vt:variant>
        <vt:i4>6</vt:i4>
      </vt:variant>
      <vt:variant>
        <vt:i4>0</vt:i4>
      </vt:variant>
      <vt:variant>
        <vt:i4>5</vt:i4>
      </vt:variant>
      <vt:variant>
        <vt:lpwstr>https://hbr.org/2022/03/data-driven-diversity</vt:lpwstr>
      </vt:variant>
      <vt:variant>
        <vt:lpwstr/>
      </vt:variant>
      <vt:variant>
        <vt:i4>1310767</vt:i4>
      </vt:variant>
      <vt:variant>
        <vt:i4>3</vt:i4>
      </vt:variant>
      <vt:variant>
        <vt:i4>0</vt:i4>
      </vt:variant>
      <vt:variant>
        <vt:i4>5</vt:i4>
      </vt:variant>
      <vt:variant>
        <vt:lpwstr>https://www.ahri.com.au/wp-content/uploads/DEI-Report-2023.pdf?_ga=2.227440349.1332497537.1714606149-1610288404.1714606149</vt:lpwstr>
      </vt:variant>
      <vt:variant>
        <vt:lpwstr/>
      </vt:variant>
      <vt:variant>
        <vt:i4>1310767</vt:i4>
      </vt:variant>
      <vt:variant>
        <vt:i4>0</vt:i4>
      </vt:variant>
      <vt:variant>
        <vt:i4>0</vt:i4>
      </vt:variant>
      <vt:variant>
        <vt:i4>5</vt:i4>
      </vt:variant>
      <vt:variant>
        <vt:lpwstr>https://www.ahri.com.au/wp-content/uploads/DEI-Report-2023.pdf?_ga=2.227440349.1332497537.1714606149-1610288404.1714606149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D’Almada-Remedios</dc:creator>
  <cp:keywords/>
  <dc:description/>
  <cp:lastModifiedBy>Deborah Wu (she/her)</cp:lastModifiedBy>
  <cp:revision>58</cp:revision>
  <cp:lastPrinted>2024-05-10T22:48:00Z</cp:lastPrinted>
  <dcterms:created xsi:type="dcterms:W3CDTF">2025-03-21T22:43:00Z</dcterms:created>
  <dcterms:modified xsi:type="dcterms:W3CDTF">2025-07-09T23:46:00Z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c1dac05d-6e4b-41b6-9c81-64e637ef8e60</vt:lpwstr>
  </property>
  <property fmtid="{D5CDD505-2E9C-101B-9397-08002B2CF9AE}" pid="3" name="ContentTypeId">
    <vt:lpwstr>0x0101002C80E1D1C4A7774FA96DE147EA198403</vt:lpwstr>
  </property>
  <property fmtid="{D5CDD505-2E9C-101B-9397-08002B2CF9AE}" pid="4" name="MediaServiceImageTags">
    <vt:lpwstr/>
  </property>
</Properties>
</file>