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F08F" w14:textId="189D3E2D" w:rsidR="00CD0466" w:rsidRPr="008F3562" w:rsidRDefault="00AC639B" w:rsidP="00EE4203">
      <w:pPr>
        <w:pStyle w:val="Heading1"/>
      </w:pPr>
      <w:r w:rsidRPr="008F3562">
        <w:t>N</w:t>
      </w:r>
      <w:r w:rsidR="00CD0466" w:rsidRPr="008F3562">
        <w:t>eurodiversity data</w:t>
      </w:r>
      <w:r w:rsidRPr="008F3562">
        <w:t xml:space="preserve"> at work</w:t>
      </w:r>
    </w:p>
    <w:p w14:paraId="57FB0F88" w14:textId="35A43333" w:rsidR="00AC639B" w:rsidRPr="00EE4203" w:rsidRDefault="00AC639B" w:rsidP="00EE4203">
      <w:r w:rsidRPr="00EE4203">
        <w:t>A 2020 study estimated that between 15 and 20 per cent of the world’s population are neurodivergent.</w:t>
      </w:r>
      <w:r w:rsidR="009B7290" w:rsidRPr="00EE4203">
        <w:rPr>
          <w:rStyle w:val="EndnoteReference"/>
        </w:rPr>
        <w:endnoteReference w:id="1"/>
      </w:r>
      <w:r w:rsidRPr="00EE4203">
        <w:t xml:space="preserve"> Despite this, very few organisations collect workforce neurodiversity data.</w:t>
      </w:r>
    </w:p>
    <w:p w14:paraId="71DC2E83" w14:textId="77777777" w:rsidR="006749B0" w:rsidRPr="00EE4203" w:rsidRDefault="00CD0466" w:rsidP="00EE4203">
      <w:pPr>
        <w:pStyle w:val="Heading2"/>
      </w:pPr>
      <w:r w:rsidRPr="00EE4203">
        <w:rPr>
          <w:rStyle w:val="Heading3Char"/>
          <w:sz w:val="32"/>
          <w:szCs w:val="32"/>
        </w:rPr>
        <w:t>Why collect neurodiversity data at work?</w:t>
      </w:r>
      <w:r w:rsidR="006749B0" w:rsidRPr="00EE4203">
        <w:t xml:space="preserve"> </w:t>
      </w:r>
    </w:p>
    <w:p w14:paraId="62E343C4" w14:textId="3C6E6317" w:rsidR="006749B0" w:rsidRPr="008F3562" w:rsidRDefault="006749B0" w:rsidP="00EE4203">
      <w:r w:rsidRPr="008F3562">
        <w:t>Neurodiversity data is a powerful tool to support organisations in their neuroinclusion work. Collecting this enables organisations to understand the neurodiversity of their workforce, identify neuroinclusion pain points, and track the impact of their neuroinclusion initiatives.</w:t>
      </w:r>
    </w:p>
    <w:p w14:paraId="4DC4A30F" w14:textId="743C9536" w:rsidR="00CD0466" w:rsidRPr="008F3562" w:rsidRDefault="00735C89" w:rsidP="00EE4203">
      <w:pPr>
        <w:pStyle w:val="Heading2"/>
      </w:pPr>
      <w:r>
        <w:t>Guiding p</w:t>
      </w:r>
      <w:r w:rsidR="00CD0466" w:rsidRPr="008F3562">
        <w:t>rinciples</w:t>
      </w:r>
    </w:p>
    <w:p w14:paraId="1EBCDA64" w14:textId="2951F932" w:rsidR="00CD0466" w:rsidRPr="00EE4203" w:rsidRDefault="00EE4203" w:rsidP="00EE4203">
      <w:pPr>
        <w:pStyle w:val="ListParagraph"/>
        <w:numPr>
          <w:ilvl w:val="0"/>
          <w:numId w:val="2"/>
        </w:numPr>
        <w:tabs>
          <w:tab w:val="num" w:pos="720"/>
        </w:tabs>
        <w:ind w:left="714" w:hanging="357"/>
        <w:contextualSpacing w:val="0"/>
      </w:pPr>
      <w:r w:rsidRPr="00EE4203">
        <w:rPr>
          <w:b/>
          <w:bCs/>
        </w:rPr>
        <w:t>Self-identity</w:t>
      </w:r>
      <w:r w:rsidR="00265158" w:rsidRPr="00EE4203">
        <w:t xml:space="preserve"> - </w:t>
      </w:r>
      <w:r w:rsidR="00C90B7F" w:rsidRPr="00EE4203">
        <w:t>Self-identity is critical – for respect and accuracy</w:t>
      </w:r>
      <w:r w:rsidR="00DC7003" w:rsidRPr="00EE4203">
        <w:t xml:space="preserve">. Use questions that were </w:t>
      </w:r>
      <w:r w:rsidR="006374F7" w:rsidRPr="00EE4203">
        <w:t xml:space="preserve">co-designed or developed by people with lived </w:t>
      </w:r>
      <w:r w:rsidR="003D6339" w:rsidRPr="00EE4203">
        <w:t>experience and</w:t>
      </w:r>
      <w:r w:rsidR="006374F7" w:rsidRPr="00EE4203">
        <w:t xml:space="preserve"> </w:t>
      </w:r>
      <w:r w:rsidR="003D6339" w:rsidRPr="00EE4203">
        <w:t>accommodate employees’ preferred ways of identifying.</w:t>
      </w:r>
    </w:p>
    <w:p w14:paraId="704666F8" w14:textId="337EB35D" w:rsidR="00C90B7F" w:rsidRPr="00EE4203" w:rsidRDefault="00EE4203" w:rsidP="00EE4203">
      <w:pPr>
        <w:pStyle w:val="ListParagraph"/>
        <w:numPr>
          <w:ilvl w:val="0"/>
          <w:numId w:val="2"/>
        </w:numPr>
        <w:ind w:left="714" w:hanging="357"/>
        <w:contextualSpacing w:val="0"/>
      </w:pPr>
      <w:r w:rsidRPr="00EE4203">
        <w:rPr>
          <w:b/>
          <w:bCs/>
        </w:rPr>
        <w:t xml:space="preserve">Safety and trust </w:t>
      </w:r>
      <w:r w:rsidR="00265158" w:rsidRPr="00EE4203">
        <w:rPr>
          <w:b/>
          <w:bCs/>
        </w:rPr>
        <w:t>-</w:t>
      </w:r>
      <w:r w:rsidR="00265158" w:rsidRPr="00EE4203">
        <w:t xml:space="preserve"> </w:t>
      </w:r>
      <w:r w:rsidR="00C90B7F" w:rsidRPr="00EE4203">
        <w:t>Prioritise employee safety and trust when collecting neurodiversity data</w:t>
      </w:r>
      <w:r w:rsidR="00495504" w:rsidRPr="00EE4203">
        <w:t xml:space="preserve">. </w:t>
      </w:r>
      <w:r w:rsidR="004B738F" w:rsidRPr="00EE4203">
        <w:t>If neurodiversity data is collected without sufficient trust or adequate safety for employees, many may choose not to participate.</w:t>
      </w:r>
    </w:p>
    <w:p w14:paraId="742F4CB3" w14:textId="72E460F8" w:rsidR="00C90B7F" w:rsidRPr="00EE4203" w:rsidRDefault="00EE4203" w:rsidP="00EE4203">
      <w:pPr>
        <w:pStyle w:val="ListParagraph"/>
        <w:numPr>
          <w:ilvl w:val="0"/>
          <w:numId w:val="2"/>
        </w:numPr>
        <w:ind w:left="714" w:hanging="357"/>
        <w:contextualSpacing w:val="0"/>
      </w:pPr>
      <w:r w:rsidRPr="00EE4203">
        <w:rPr>
          <w:b/>
          <w:bCs/>
        </w:rPr>
        <w:t>Recognising risk</w:t>
      </w:r>
      <w:r w:rsidR="00265158" w:rsidRPr="00EE4203">
        <w:t xml:space="preserve"> - </w:t>
      </w:r>
      <w:r w:rsidR="00C90B7F" w:rsidRPr="00EE4203">
        <w:t>Recognise risk</w:t>
      </w:r>
      <w:r w:rsidR="007F4A0C" w:rsidRPr="00EE4203">
        <w:t xml:space="preserve">, </w:t>
      </w:r>
      <w:r w:rsidR="00C90B7F" w:rsidRPr="00EE4203">
        <w:t>both in collecting and not collecting neurodiversity data</w:t>
      </w:r>
      <w:r w:rsidR="00322064" w:rsidRPr="00EE4203">
        <w:t>. As awareness of neurodiversity increases, excluding neurodivergence from demographic data collection may lead to perceptions that the organisation is not inclusive.</w:t>
      </w:r>
    </w:p>
    <w:p w14:paraId="571CEBBC" w14:textId="183F7CFA" w:rsidR="00A55F53" w:rsidRPr="00EE4203" w:rsidRDefault="00EE4203" w:rsidP="00EE4203">
      <w:pPr>
        <w:pStyle w:val="ListParagraph"/>
        <w:numPr>
          <w:ilvl w:val="0"/>
          <w:numId w:val="2"/>
        </w:numPr>
        <w:ind w:left="714" w:hanging="357"/>
        <w:contextualSpacing w:val="0"/>
      </w:pPr>
      <w:r w:rsidRPr="00EE4203">
        <w:rPr>
          <w:b/>
          <w:bCs/>
        </w:rPr>
        <w:t>Data privacy</w:t>
      </w:r>
      <w:r w:rsidR="00265158" w:rsidRPr="00EE4203">
        <w:t xml:space="preserve"> </w:t>
      </w:r>
      <w:r w:rsidRPr="00EE4203">
        <w:rPr>
          <w:b/>
          <w:bCs/>
        </w:rPr>
        <w:t xml:space="preserve">&amp; confidentiality </w:t>
      </w:r>
      <w:r w:rsidR="00A21388" w:rsidRPr="00EE4203">
        <w:t>–</w:t>
      </w:r>
      <w:r w:rsidR="009F3D65" w:rsidRPr="00EE4203">
        <w:t xml:space="preserve"> Protect employees’ information through strong data management policies, processes and collection practices. Treat</w:t>
      </w:r>
      <w:r w:rsidR="00A21388" w:rsidRPr="00EE4203">
        <w:t xml:space="preserve"> neurodiversity data as </w:t>
      </w:r>
      <w:r w:rsidR="007F4A0C" w:rsidRPr="00EE4203">
        <w:t>sensitive and</w:t>
      </w:r>
      <w:r w:rsidR="00A55F53" w:rsidRPr="00EE4203">
        <w:t xml:space="preserve"> be aware of relevant legal obligations for collecting this information from employees. </w:t>
      </w:r>
    </w:p>
    <w:p w14:paraId="09470D98" w14:textId="73345BC8" w:rsidR="00A55F53" w:rsidRPr="00EE4203" w:rsidRDefault="00EE4203" w:rsidP="00EE4203">
      <w:pPr>
        <w:pStyle w:val="ListParagraph"/>
        <w:numPr>
          <w:ilvl w:val="0"/>
          <w:numId w:val="2"/>
        </w:numPr>
        <w:ind w:left="714" w:hanging="357"/>
        <w:contextualSpacing w:val="0"/>
      </w:pPr>
      <w:r w:rsidRPr="00EE4203">
        <w:rPr>
          <w:b/>
          <w:bCs/>
        </w:rPr>
        <w:t>Check accessibility</w:t>
      </w:r>
      <w:r w:rsidR="00265158" w:rsidRPr="00EE4203">
        <w:t xml:space="preserve"> - </w:t>
      </w:r>
      <w:r w:rsidR="00D85125" w:rsidRPr="00EE4203">
        <w:t>Check the accessibility of platforms and materials you use to communicate, collect and report on your data</w:t>
      </w:r>
      <w:r w:rsidR="00242044" w:rsidRPr="00EE4203">
        <w:t>. For example,</w:t>
      </w:r>
      <w:r w:rsidR="00E60056" w:rsidRPr="00EE4203">
        <w:t xml:space="preserve"> you can check formatting to avoid tightly spaced text to improve accessibility for employees with dyslexia.</w:t>
      </w:r>
      <w:r w:rsidR="00242044" w:rsidRPr="00EE4203">
        <w:t xml:space="preserve"> </w:t>
      </w:r>
    </w:p>
    <w:p w14:paraId="1C21BCA0" w14:textId="75E5F754" w:rsidR="00C90B7F" w:rsidRPr="00EE4203" w:rsidRDefault="00EE4203" w:rsidP="00EE4203">
      <w:pPr>
        <w:pStyle w:val="ListParagraph"/>
        <w:numPr>
          <w:ilvl w:val="0"/>
          <w:numId w:val="2"/>
        </w:numPr>
        <w:tabs>
          <w:tab w:val="num" w:pos="720"/>
        </w:tabs>
        <w:ind w:left="714" w:hanging="357"/>
        <w:contextualSpacing w:val="0"/>
      </w:pPr>
      <w:r w:rsidRPr="00EE4203">
        <w:rPr>
          <w:b/>
          <w:bCs/>
        </w:rPr>
        <w:t xml:space="preserve">Commit to action </w:t>
      </w:r>
      <w:r w:rsidR="00265158" w:rsidRPr="00EE4203">
        <w:rPr>
          <w:b/>
          <w:bCs/>
        </w:rPr>
        <w:t>-</w:t>
      </w:r>
      <w:r w:rsidR="00265158" w:rsidRPr="00EE4203">
        <w:t xml:space="preserve"> </w:t>
      </w:r>
      <w:r w:rsidR="00C90B7F" w:rsidRPr="00EE4203">
        <w:t xml:space="preserve">Commit to </w:t>
      </w:r>
      <w:r w:rsidR="00265158" w:rsidRPr="00EE4203">
        <w:t xml:space="preserve">taking organisational </w:t>
      </w:r>
      <w:r w:rsidR="00C90B7F" w:rsidRPr="00EE4203">
        <w:t xml:space="preserve">action on results </w:t>
      </w:r>
      <w:r w:rsidR="00265158" w:rsidRPr="00EE4203">
        <w:t>of the data you collect.</w:t>
      </w:r>
      <w:r w:rsidR="00156143" w:rsidRPr="00EE4203">
        <w:t xml:space="preserve"> This could include reporting on anonymous </w:t>
      </w:r>
      <w:r w:rsidR="007F4A0C" w:rsidRPr="00EE4203">
        <w:t>data or</w:t>
      </w:r>
      <w:r w:rsidR="00156143" w:rsidRPr="00EE4203">
        <w:t xml:space="preserve"> using insights from a survey to proactively </w:t>
      </w:r>
      <w:r w:rsidR="005D2292" w:rsidRPr="00EE4203">
        <w:t xml:space="preserve">co-design neuroinclusion initiatives. </w:t>
      </w:r>
    </w:p>
    <w:p w14:paraId="076EB8BB" w14:textId="77777777" w:rsidR="00265158" w:rsidRPr="008F3562" w:rsidRDefault="00265158">
      <w:pPr>
        <w:rPr>
          <w:rFonts w:eastAsiaTheme="majorEastAsia" w:cstheme="majorBidi"/>
          <w:color w:val="0F4761" w:themeColor="accent1" w:themeShade="BF"/>
        </w:rPr>
      </w:pPr>
      <w:r w:rsidRPr="008F3562">
        <w:rPr>
          <w:sz w:val="22"/>
          <w:szCs w:val="22"/>
        </w:rPr>
        <w:br w:type="page"/>
      </w:r>
    </w:p>
    <w:p w14:paraId="285E90EC" w14:textId="5BA5EC7F" w:rsidR="00C90B7F" w:rsidRDefault="00C90B7F" w:rsidP="00EE4203">
      <w:pPr>
        <w:pStyle w:val="Heading2"/>
      </w:pPr>
      <w:r w:rsidRPr="008F3562">
        <w:lastRenderedPageBreak/>
        <w:t>Our questions</w:t>
      </w:r>
    </w:p>
    <w:p w14:paraId="41361C08" w14:textId="0BEE784A" w:rsidR="003C7A52" w:rsidRPr="00EE4203" w:rsidRDefault="008F3562" w:rsidP="008F3562">
      <w:r w:rsidRPr="00EE4203">
        <w:t xml:space="preserve">Use these questions to collect anonymous, baseline neurodiversity data in your workplace. </w:t>
      </w:r>
    </w:p>
    <w:p w14:paraId="5B12D888" w14:textId="004C5892" w:rsidR="00044DB5" w:rsidRPr="00EE4203" w:rsidRDefault="00044DB5" w:rsidP="00EE4203">
      <w:pPr>
        <w:pStyle w:val="ListParagraph"/>
        <w:numPr>
          <w:ilvl w:val="0"/>
          <w:numId w:val="8"/>
        </w:numPr>
        <w:ind w:left="714" w:hanging="357"/>
        <w:contextualSpacing w:val="0"/>
      </w:pPr>
      <w:r w:rsidRPr="00EE4203">
        <w:rPr>
          <w:b/>
          <w:bCs/>
        </w:rPr>
        <w:t>Question 1 (Core).</w:t>
      </w:r>
      <w:r w:rsidRPr="00EE4203">
        <w:t xml:space="preserve"> If you can only ask one question, use Question 1. This will provide a general overview and baseline understanding of workforce neurodiversity.</w:t>
      </w:r>
    </w:p>
    <w:p w14:paraId="58DA3914" w14:textId="0A63BC47" w:rsidR="00044DB5" w:rsidRPr="00EE4203" w:rsidRDefault="00044DB5" w:rsidP="00EE4203">
      <w:pPr>
        <w:pStyle w:val="ListParagraph"/>
        <w:numPr>
          <w:ilvl w:val="0"/>
          <w:numId w:val="8"/>
        </w:numPr>
        <w:ind w:left="714" w:hanging="357"/>
        <w:contextualSpacing w:val="0"/>
      </w:pPr>
      <w:r w:rsidRPr="00EE4203">
        <w:rPr>
          <w:b/>
          <w:bCs/>
        </w:rPr>
        <w:t>Question 2 (Additional).</w:t>
      </w:r>
      <w:r w:rsidRPr="00EE4203">
        <w:t xml:space="preserve"> If you can include a second question, follow up with Question 2. This question will provide further insights into specific experiences/neurotypes.</w:t>
      </w:r>
    </w:p>
    <w:p w14:paraId="6247C205" w14:textId="77777777" w:rsidR="00EE4203" w:rsidRPr="00EE4203" w:rsidRDefault="00EE4203" w:rsidP="00EE4203">
      <w:r w:rsidRPr="00EE4203">
        <w:t>The questions below are for anonymous data collection only. When data about neurodivergent identity, diagnosis, disability or cognitive differences is linked to personal identifiers, it becomes sensitive information and may be subject to privacy obligations under law. Organisations should exercise caution and seek appropriate advice before collecting sensitive information that is identifiable to employees.</w:t>
      </w:r>
    </w:p>
    <w:p w14:paraId="45EB736B" w14:textId="2AFD5D9A" w:rsidR="00EE4203" w:rsidRPr="00EE4203" w:rsidRDefault="00EE4203" w:rsidP="00EE4203">
      <w:r w:rsidRPr="00EE4203">
        <w:t xml:space="preserve">Read our full </w:t>
      </w:r>
      <w:hyperlink r:id="rId11" w:history="1">
        <w:r w:rsidRPr="00316DA3">
          <w:rPr>
            <w:rStyle w:val="Hyperlink"/>
          </w:rPr>
          <w:t>Neurodiversity Data at Work guide</w:t>
        </w:r>
      </w:hyperlink>
      <w:r w:rsidRPr="00EE4203">
        <w:t xml:space="preserve"> for more information.</w:t>
      </w:r>
    </w:p>
    <w:p w14:paraId="557E8424" w14:textId="681A103A" w:rsidR="00BE4449" w:rsidRPr="00EE4203" w:rsidRDefault="00B10358" w:rsidP="00BE4449">
      <w:pPr>
        <w:rPr>
          <w:b/>
          <w:bCs/>
          <w:lang w:val="en-US"/>
        </w:rPr>
      </w:pPr>
      <w:r w:rsidRPr="00EE4203">
        <w:rPr>
          <w:b/>
          <w:bCs/>
          <w:lang w:val="en-US"/>
        </w:rPr>
        <w:t>Question 1</w:t>
      </w:r>
      <w:r w:rsidR="003C7A52" w:rsidRPr="00EE4203">
        <w:rPr>
          <w:b/>
          <w:bCs/>
          <w:lang w:val="en-US"/>
        </w:rPr>
        <w:t xml:space="preserve"> (Core measure)</w:t>
      </w:r>
      <w:r w:rsidRPr="00EE4203">
        <w:rPr>
          <w:b/>
          <w:bCs/>
          <w:lang w:val="en-US"/>
        </w:rPr>
        <w:t xml:space="preserve">: </w:t>
      </w:r>
      <w:r w:rsidR="00BE4449" w:rsidRPr="00EE4203">
        <w:rPr>
          <w:lang w:val="en-US"/>
        </w:rPr>
        <w:t xml:space="preserve">Do you identify as neurodivergent* and/or have cognitive differences? This question is voluntary and can be skipped. </w:t>
      </w:r>
    </w:p>
    <w:p w14:paraId="4EE8B18A" w14:textId="6E30791E" w:rsidR="00BE4449" w:rsidRPr="00EE4203" w:rsidRDefault="00BE4449" w:rsidP="00BE4449">
      <w:r w:rsidRPr="00EE4203">
        <w:rPr>
          <w:lang w:val="en-US"/>
        </w:rPr>
        <w:t xml:space="preserve">*Neurodivergent (adj.) is a non-medical term that describes people whose ways of thinking, experiencing or interacting with the world differ from what is considered “typical”. These differences may not always be visible to others. Some individuals identify as neurodivergent without using a specific diagnostic </w:t>
      </w:r>
      <w:r w:rsidR="00B10358" w:rsidRPr="00EE4203">
        <w:rPr>
          <w:lang w:val="en-US"/>
        </w:rPr>
        <w:t>label or</w:t>
      </w:r>
      <w:r w:rsidRPr="00EE4203">
        <w:rPr>
          <w:lang w:val="en-US"/>
        </w:rPr>
        <w:t xml:space="preserve"> neurotype in recognition of their differences. </w:t>
      </w:r>
    </w:p>
    <w:p w14:paraId="4FEFCC21" w14:textId="10588813" w:rsidR="00BE4449" w:rsidRPr="00EE4203" w:rsidRDefault="00BE4449" w:rsidP="001848DF">
      <w:pPr>
        <w:pStyle w:val="ListParagraph"/>
        <w:numPr>
          <w:ilvl w:val="0"/>
          <w:numId w:val="9"/>
        </w:numPr>
      </w:pPr>
      <w:r w:rsidRPr="00EE4203">
        <w:rPr>
          <w:lang w:val="en-US"/>
        </w:rPr>
        <w:t>Yes</w:t>
      </w:r>
    </w:p>
    <w:p w14:paraId="3D76F564" w14:textId="2F68FF2B" w:rsidR="00BE4449" w:rsidRPr="00EE4203" w:rsidRDefault="00BE4449" w:rsidP="001848DF">
      <w:pPr>
        <w:pStyle w:val="ListParagraph"/>
        <w:numPr>
          <w:ilvl w:val="0"/>
          <w:numId w:val="9"/>
        </w:numPr>
      </w:pPr>
      <w:r w:rsidRPr="00EE4203">
        <w:rPr>
          <w:lang w:val="en-US"/>
        </w:rPr>
        <w:t>No</w:t>
      </w:r>
    </w:p>
    <w:p w14:paraId="17B0CA48" w14:textId="6A11EC49" w:rsidR="00BE4449" w:rsidRPr="00EE4203" w:rsidRDefault="00BE4449" w:rsidP="001848DF">
      <w:pPr>
        <w:pStyle w:val="ListParagraph"/>
        <w:numPr>
          <w:ilvl w:val="0"/>
          <w:numId w:val="9"/>
        </w:numPr>
      </w:pPr>
      <w:r w:rsidRPr="00EE4203">
        <w:rPr>
          <w:lang w:val="en-US"/>
        </w:rPr>
        <w:t>Unsure</w:t>
      </w:r>
    </w:p>
    <w:p w14:paraId="5A5DB29F" w14:textId="28E52EF6" w:rsidR="00265158" w:rsidRPr="00EE4203" w:rsidRDefault="00BE4449" w:rsidP="001848DF">
      <w:pPr>
        <w:pStyle w:val="ListParagraph"/>
        <w:numPr>
          <w:ilvl w:val="0"/>
          <w:numId w:val="9"/>
        </w:numPr>
      </w:pPr>
      <w:r w:rsidRPr="00EE4203">
        <w:rPr>
          <w:lang w:val="en-US"/>
        </w:rPr>
        <w:t>Prefer not to say</w:t>
      </w:r>
    </w:p>
    <w:p w14:paraId="3DA80EAB" w14:textId="073CF36A" w:rsidR="00BE4449" w:rsidRPr="00EE4203" w:rsidRDefault="00BE4449" w:rsidP="00BE4449">
      <w:pPr>
        <w:rPr>
          <w:b/>
          <w:bCs/>
          <w:lang w:val="en-US"/>
        </w:rPr>
      </w:pPr>
      <w:r w:rsidRPr="00EE4203">
        <w:rPr>
          <w:b/>
          <w:bCs/>
          <w:lang w:val="en-US"/>
        </w:rPr>
        <w:t>Question 2</w:t>
      </w:r>
      <w:r w:rsidR="003C7A52" w:rsidRPr="00EE4203">
        <w:rPr>
          <w:b/>
          <w:bCs/>
          <w:lang w:val="en-US"/>
        </w:rPr>
        <w:t xml:space="preserve"> (Additional measure):</w:t>
      </w:r>
      <w:r w:rsidR="00B10358" w:rsidRPr="00EE4203">
        <w:rPr>
          <w:b/>
          <w:bCs/>
          <w:lang w:val="en-US"/>
        </w:rPr>
        <w:t xml:space="preserve"> </w:t>
      </w:r>
      <w:r w:rsidRPr="00EE4203">
        <w:rPr>
          <w:lang w:val="en-US"/>
        </w:rPr>
        <w:t>How do you describe your neurodivergence and/or cognitive difference? Please select as many as apply for you or provide your own language below.</w:t>
      </w:r>
      <w:r w:rsidRPr="00EE4203">
        <w:rPr>
          <w:b/>
          <w:bCs/>
          <w:lang w:val="en-US"/>
        </w:rPr>
        <w:t xml:space="preserve"> </w:t>
      </w:r>
    </w:p>
    <w:p w14:paraId="57ECECDA" w14:textId="06542257" w:rsidR="00BE4449" w:rsidRPr="00EE4203" w:rsidRDefault="00BE4449" w:rsidP="00BE4449">
      <w:r w:rsidRPr="00EE4203">
        <w:rPr>
          <w:lang w:val="en-US"/>
        </w:rPr>
        <w:t xml:space="preserve">NOTE: </w:t>
      </w:r>
      <w:r w:rsidR="00B10358" w:rsidRPr="00EE4203">
        <w:rPr>
          <w:lang w:val="en-US"/>
        </w:rPr>
        <w:t>This</w:t>
      </w:r>
      <w:r w:rsidRPr="00EE4203">
        <w:rPr>
          <w:lang w:val="en-US"/>
        </w:rPr>
        <w:t xml:space="preserve"> may include identities, neurotypes or diagnoses. Responses may be formally diagnosed or self-identified.</w:t>
      </w:r>
    </w:p>
    <w:p w14:paraId="6B1225BD" w14:textId="77777777" w:rsidR="00B10358" w:rsidRPr="00EE4203" w:rsidRDefault="00B10358" w:rsidP="00B10358">
      <w:pPr>
        <w:pStyle w:val="NoSpacing"/>
        <w:numPr>
          <w:ilvl w:val="0"/>
          <w:numId w:val="6"/>
        </w:numPr>
      </w:pPr>
      <w:r w:rsidRPr="00EE4203">
        <w:rPr>
          <w:lang w:val="en-US"/>
        </w:rPr>
        <w:t xml:space="preserve">Acquired brain injury </w:t>
      </w:r>
    </w:p>
    <w:p w14:paraId="323EBA33" w14:textId="1D970B81" w:rsidR="00B10358" w:rsidRPr="00EE4203" w:rsidRDefault="00B10358" w:rsidP="00B10358">
      <w:pPr>
        <w:pStyle w:val="NoSpacing"/>
        <w:numPr>
          <w:ilvl w:val="0"/>
          <w:numId w:val="6"/>
        </w:numPr>
      </w:pPr>
      <w:r w:rsidRPr="00EE4203">
        <w:rPr>
          <w:lang w:val="en-US"/>
        </w:rPr>
        <w:t xml:space="preserve">ADHD </w:t>
      </w:r>
    </w:p>
    <w:p w14:paraId="2B79F7CB" w14:textId="46A11593" w:rsidR="00B10358" w:rsidRPr="00EE4203" w:rsidRDefault="00B10358" w:rsidP="00B10358">
      <w:pPr>
        <w:pStyle w:val="NoSpacing"/>
        <w:numPr>
          <w:ilvl w:val="0"/>
          <w:numId w:val="6"/>
        </w:numPr>
      </w:pPr>
      <w:r w:rsidRPr="00EE4203">
        <w:rPr>
          <w:lang w:val="en-US"/>
        </w:rPr>
        <w:t xml:space="preserve">Autistic, or autism </w:t>
      </w:r>
    </w:p>
    <w:p w14:paraId="0123E23E" w14:textId="2CC58DB5" w:rsidR="00B10358" w:rsidRPr="00EE4203" w:rsidRDefault="00B10358" w:rsidP="00B10358">
      <w:pPr>
        <w:pStyle w:val="NoSpacing"/>
        <w:numPr>
          <w:ilvl w:val="0"/>
          <w:numId w:val="6"/>
        </w:numPr>
      </w:pPr>
      <w:r w:rsidRPr="00EE4203">
        <w:rPr>
          <w:lang w:val="en-US"/>
        </w:rPr>
        <w:t xml:space="preserve">Learning differences (e.g. dyscalculia, </w:t>
      </w:r>
      <w:proofErr w:type="gramStart"/>
      <w:r w:rsidRPr="00EE4203">
        <w:rPr>
          <w:lang w:val="en-US"/>
        </w:rPr>
        <w:t>dysgraphia</w:t>
      </w:r>
      <w:proofErr w:type="gramEnd"/>
      <w:r w:rsidRPr="00EE4203">
        <w:rPr>
          <w:lang w:val="en-US"/>
        </w:rPr>
        <w:t xml:space="preserve">, dyslexia) </w:t>
      </w:r>
    </w:p>
    <w:p w14:paraId="58AB208A" w14:textId="31DA2269" w:rsidR="00B10358" w:rsidRPr="00EE4203" w:rsidRDefault="00B10358" w:rsidP="00B10358">
      <w:pPr>
        <w:pStyle w:val="NoSpacing"/>
        <w:numPr>
          <w:ilvl w:val="0"/>
          <w:numId w:val="6"/>
        </w:numPr>
      </w:pPr>
      <w:r w:rsidRPr="00EE4203">
        <w:rPr>
          <w:lang w:val="en-US"/>
        </w:rPr>
        <w:t xml:space="preserve">Developmental coordination differences (e.g. dyspraxia, DCD) </w:t>
      </w:r>
    </w:p>
    <w:p w14:paraId="380C3AEE" w14:textId="1866DED4" w:rsidR="00B10358" w:rsidRPr="00EE4203" w:rsidRDefault="00B10358" w:rsidP="00B10358">
      <w:pPr>
        <w:pStyle w:val="NoSpacing"/>
        <w:numPr>
          <w:ilvl w:val="0"/>
          <w:numId w:val="6"/>
        </w:numPr>
      </w:pPr>
      <w:r w:rsidRPr="00EE4203">
        <w:rPr>
          <w:lang w:val="en-US"/>
        </w:rPr>
        <w:lastRenderedPageBreak/>
        <w:t xml:space="preserve">Intellectual disability </w:t>
      </w:r>
    </w:p>
    <w:p w14:paraId="483D97E0" w14:textId="3D7F25D6" w:rsidR="00B10358" w:rsidRPr="00EE4203" w:rsidRDefault="00B10358" w:rsidP="00EE4203">
      <w:pPr>
        <w:pStyle w:val="ListParagraph"/>
        <w:numPr>
          <w:ilvl w:val="0"/>
          <w:numId w:val="6"/>
        </w:numPr>
      </w:pPr>
      <w:r w:rsidRPr="00EE4203">
        <w:rPr>
          <w:lang w:val="en-US"/>
        </w:rPr>
        <w:t xml:space="preserve">Mental health conditions (e.g. mood disorders, trauma-based conditions, schizophrenia, personality disorders) </w:t>
      </w:r>
    </w:p>
    <w:p w14:paraId="7DF836ED" w14:textId="51DB4CC5" w:rsidR="00B10358" w:rsidRPr="00EE4203" w:rsidRDefault="00B10358" w:rsidP="00EE4203">
      <w:pPr>
        <w:pStyle w:val="ListParagraph"/>
        <w:numPr>
          <w:ilvl w:val="0"/>
          <w:numId w:val="6"/>
        </w:numPr>
      </w:pPr>
      <w:r w:rsidRPr="00EE4203">
        <w:rPr>
          <w:lang w:val="en-US"/>
        </w:rPr>
        <w:t xml:space="preserve">OCD </w:t>
      </w:r>
    </w:p>
    <w:p w14:paraId="36601809" w14:textId="651D0D16" w:rsidR="00B10358" w:rsidRPr="00EE4203" w:rsidRDefault="00B10358" w:rsidP="00EE4203">
      <w:pPr>
        <w:pStyle w:val="ListParagraph"/>
        <w:numPr>
          <w:ilvl w:val="0"/>
          <w:numId w:val="6"/>
        </w:numPr>
      </w:pPr>
      <w:r w:rsidRPr="00EE4203">
        <w:rPr>
          <w:lang w:val="en-US"/>
        </w:rPr>
        <w:t>Sensory processing differences (e.g. SPD, auditory processing)</w:t>
      </w:r>
    </w:p>
    <w:p w14:paraId="1F86E784" w14:textId="268BF7EF" w:rsidR="00B10358" w:rsidRPr="00EE4203" w:rsidRDefault="00B10358" w:rsidP="00EE4203">
      <w:pPr>
        <w:pStyle w:val="ListParagraph"/>
        <w:numPr>
          <w:ilvl w:val="0"/>
          <w:numId w:val="6"/>
        </w:numPr>
      </w:pPr>
      <w:r w:rsidRPr="00EE4203">
        <w:rPr>
          <w:lang w:val="en-US"/>
        </w:rPr>
        <w:t xml:space="preserve">Communication and speech differences (e.g. DLD, stuttering) </w:t>
      </w:r>
    </w:p>
    <w:p w14:paraId="156C690E" w14:textId="62B357BA" w:rsidR="00B10358" w:rsidRPr="00EE4203" w:rsidRDefault="00B10358" w:rsidP="00EE4203">
      <w:pPr>
        <w:pStyle w:val="ListParagraph"/>
        <w:numPr>
          <w:ilvl w:val="0"/>
          <w:numId w:val="6"/>
        </w:numPr>
      </w:pPr>
      <w:r w:rsidRPr="00EE4203">
        <w:rPr>
          <w:lang w:val="en-US"/>
        </w:rPr>
        <w:t xml:space="preserve">Tic conditions (e.g. Tourette syndrome) </w:t>
      </w:r>
    </w:p>
    <w:p w14:paraId="7B06F71A" w14:textId="1539547D" w:rsidR="00B10358" w:rsidRPr="00EE4203" w:rsidRDefault="00B10358" w:rsidP="00EE4203">
      <w:pPr>
        <w:pStyle w:val="ListParagraph"/>
        <w:numPr>
          <w:ilvl w:val="0"/>
          <w:numId w:val="6"/>
        </w:numPr>
      </w:pPr>
      <w:r w:rsidRPr="00EE4203">
        <w:rPr>
          <w:lang w:val="en-US"/>
        </w:rPr>
        <w:t xml:space="preserve">I identify as neurodivergent and/or have a cognitive difference, but do not use specific labels </w:t>
      </w:r>
    </w:p>
    <w:p w14:paraId="5542A96A" w14:textId="536AF1B0" w:rsidR="00B10358" w:rsidRPr="00EE4203" w:rsidRDefault="00B10358" w:rsidP="00EE4203">
      <w:pPr>
        <w:pStyle w:val="ListParagraph"/>
        <w:numPr>
          <w:ilvl w:val="0"/>
          <w:numId w:val="6"/>
        </w:numPr>
      </w:pPr>
      <w:r w:rsidRPr="00EE4203">
        <w:rPr>
          <w:lang w:val="en-US"/>
        </w:rPr>
        <w:t xml:space="preserve">I use a different term (please specify) </w:t>
      </w:r>
    </w:p>
    <w:p w14:paraId="796A22D8" w14:textId="48C6C235" w:rsidR="00B10358" w:rsidRPr="00EE4203" w:rsidRDefault="00B10358" w:rsidP="00EE4203">
      <w:pPr>
        <w:pStyle w:val="ListParagraph"/>
        <w:numPr>
          <w:ilvl w:val="0"/>
          <w:numId w:val="6"/>
        </w:numPr>
      </w:pPr>
      <w:r w:rsidRPr="00EE4203">
        <w:rPr>
          <w:lang w:val="en-US"/>
        </w:rPr>
        <w:t xml:space="preserve">Prefer not to say </w:t>
      </w:r>
    </w:p>
    <w:p w14:paraId="6BD1AF49" w14:textId="6AF3EE75" w:rsidR="00EE4203" w:rsidRPr="00EE4203" w:rsidRDefault="00B10358" w:rsidP="00EE4203">
      <w:pPr>
        <w:pStyle w:val="ListParagraph"/>
        <w:numPr>
          <w:ilvl w:val="0"/>
          <w:numId w:val="6"/>
        </w:numPr>
      </w:pPr>
      <w:r w:rsidRPr="00EE4203">
        <w:rPr>
          <w:lang w:val="en-US"/>
        </w:rPr>
        <w:t>I do not describe myself as neurodivergent or as having a cognitive difference</w:t>
      </w:r>
    </w:p>
    <w:p w14:paraId="1F896D6A" w14:textId="4A0A3672" w:rsidR="00EE4203" w:rsidRPr="00EE4203" w:rsidRDefault="00EE4203" w:rsidP="00EE4203">
      <w:r w:rsidRPr="00EE4203">
        <w:t xml:space="preserve">For more information on these questions, our guiding principles, and how they were developed, visit </w:t>
      </w:r>
      <w:hyperlink r:id="rId12" w:history="1">
        <w:r w:rsidR="00316DA3" w:rsidRPr="00316DA3">
          <w:rPr>
            <w:rStyle w:val="Hyperlink"/>
          </w:rPr>
          <w:t>Neurodiversity Data at Work</w:t>
        </w:r>
        <w:r w:rsidR="00316DA3">
          <w:rPr>
            <w:rStyle w:val="Hyperlink"/>
          </w:rPr>
          <w:t>.</w:t>
        </w:r>
      </w:hyperlink>
    </w:p>
    <w:sectPr w:rsidR="00EE4203" w:rsidRPr="00EE4203">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75EE" w14:textId="77777777" w:rsidR="001442AD" w:rsidRDefault="001442AD" w:rsidP="009B7290">
      <w:pPr>
        <w:spacing w:after="0" w:line="240" w:lineRule="auto"/>
      </w:pPr>
      <w:r>
        <w:separator/>
      </w:r>
    </w:p>
  </w:endnote>
  <w:endnote w:type="continuationSeparator" w:id="0">
    <w:p w14:paraId="6F9EDEE0" w14:textId="77777777" w:rsidR="001442AD" w:rsidRDefault="001442AD" w:rsidP="009B7290">
      <w:pPr>
        <w:spacing w:after="0" w:line="240" w:lineRule="auto"/>
      </w:pPr>
      <w:r>
        <w:continuationSeparator/>
      </w:r>
    </w:p>
  </w:endnote>
  <w:endnote w:id="1">
    <w:p w14:paraId="774CF52E" w14:textId="55FBBDF9" w:rsidR="009B7290" w:rsidRPr="009B7290" w:rsidRDefault="009B7290" w:rsidP="009B7290">
      <w:pPr>
        <w:pStyle w:val="EndnoteText"/>
        <w:rPr>
          <w:lang w:val="en-US"/>
        </w:rPr>
      </w:pPr>
      <w:r w:rsidRPr="00EE4203">
        <w:rPr>
          <w:rStyle w:val="EndnoteReference"/>
          <w:sz w:val="22"/>
          <w:szCs w:val="22"/>
        </w:rPr>
        <w:endnoteRef/>
      </w:r>
      <w:r w:rsidRPr="00EE4203">
        <w:rPr>
          <w:sz w:val="22"/>
          <w:szCs w:val="22"/>
        </w:rPr>
        <w:t xml:space="preserve"> N Doyle, ‘</w:t>
      </w:r>
      <w:hyperlink r:id="rId1" w:history="1">
        <w:r w:rsidRPr="00EE4203">
          <w:rPr>
            <w:rStyle w:val="Hyperlink"/>
            <w:sz w:val="22"/>
            <w:szCs w:val="22"/>
          </w:rPr>
          <w:t>Neurodiversity at work: a biopsychosocial model and the impact on working adults’</w:t>
        </w:r>
      </w:hyperlink>
      <w:r w:rsidRPr="00EE4203">
        <w:rPr>
          <w:sz w:val="22"/>
          <w:szCs w:val="22"/>
        </w:rPr>
        <w:t xml:space="preserve">, </w:t>
      </w:r>
      <w:r w:rsidRPr="00EE4203">
        <w:rPr>
          <w:i/>
          <w:iCs/>
          <w:sz w:val="22"/>
          <w:szCs w:val="22"/>
        </w:rPr>
        <w:t>British</w:t>
      </w:r>
      <w:r w:rsidR="00EE4203">
        <w:rPr>
          <w:i/>
          <w:iCs/>
          <w:sz w:val="22"/>
          <w:szCs w:val="22"/>
        </w:rPr>
        <w:t xml:space="preserve"> </w:t>
      </w:r>
      <w:r w:rsidRPr="00EE4203">
        <w:rPr>
          <w:i/>
          <w:iCs/>
          <w:sz w:val="22"/>
          <w:szCs w:val="22"/>
        </w:rPr>
        <w:t>Medical Bulletin</w:t>
      </w:r>
      <w:r w:rsidRPr="00EE4203">
        <w:rPr>
          <w:sz w:val="22"/>
          <w:szCs w:val="22"/>
        </w:rPr>
        <w:t>, 2020, 135(1):108–125.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EBFD" w14:textId="7933A779" w:rsidR="00EE4203" w:rsidRDefault="00EE4203">
    <w:pPr>
      <w:pStyle w:val="Footer"/>
    </w:pPr>
    <w:r>
      <w:t>© Diversity Council Australia and Amaze, 2026</w:t>
    </w:r>
  </w:p>
  <w:p w14:paraId="7A0BE60E" w14:textId="77777777" w:rsidR="00425926" w:rsidRDefault="00425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37D3" w14:textId="77777777" w:rsidR="001442AD" w:rsidRDefault="001442AD" w:rsidP="009B7290">
      <w:pPr>
        <w:spacing w:after="0" w:line="240" w:lineRule="auto"/>
      </w:pPr>
      <w:r>
        <w:separator/>
      </w:r>
    </w:p>
  </w:footnote>
  <w:footnote w:type="continuationSeparator" w:id="0">
    <w:p w14:paraId="0044B369" w14:textId="77777777" w:rsidR="001442AD" w:rsidRDefault="001442AD" w:rsidP="009B7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2AF"/>
    <w:multiLevelType w:val="hybridMultilevel"/>
    <w:tmpl w:val="6D7A7C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03E49"/>
    <w:multiLevelType w:val="hybridMultilevel"/>
    <w:tmpl w:val="6BF62290"/>
    <w:lvl w:ilvl="0" w:tplc="568EE2A2">
      <w:start w:val="1"/>
      <w:numFmt w:val="bullet"/>
      <w:lvlText w:val=""/>
      <w:lvlJc w:val="left"/>
      <w:pPr>
        <w:tabs>
          <w:tab w:val="num" w:pos="720"/>
        </w:tabs>
        <w:ind w:left="720" w:hanging="360"/>
      </w:pPr>
      <w:rPr>
        <w:rFonts w:ascii="Wingdings" w:hAnsi="Wingdings" w:hint="default"/>
      </w:rPr>
    </w:lvl>
    <w:lvl w:ilvl="1" w:tplc="F0FEE97E" w:tentative="1">
      <w:start w:val="1"/>
      <w:numFmt w:val="bullet"/>
      <w:lvlText w:val=""/>
      <w:lvlJc w:val="left"/>
      <w:pPr>
        <w:tabs>
          <w:tab w:val="num" w:pos="1440"/>
        </w:tabs>
        <w:ind w:left="1440" w:hanging="360"/>
      </w:pPr>
      <w:rPr>
        <w:rFonts w:ascii="Wingdings" w:hAnsi="Wingdings" w:hint="default"/>
      </w:rPr>
    </w:lvl>
    <w:lvl w:ilvl="2" w:tplc="33FE11D8" w:tentative="1">
      <w:start w:val="1"/>
      <w:numFmt w:val="bullet"/>
      <w:lvlText w:val=""/>
      <w:lvlJc w:val="left"/>
      <w:pPr>
        <w:tabs>
          <w:tab w:val="num" w:pos="2160"/>
        </w:tabs>
        <w:ind w:left="2160" w:hanging="360"/>
      </w:pPr>
      <w:rPr>
        <w:rFonts w:ascii="Wingdings" w:hAnsi="Wingdings" w:hint="default"/>
      </w:rPr>
    </w:lvl>
    <w:lvl w:ilvl="3" w:tplc="00A8688E" w:tentative="1">
      <w:start w:val="1"/>
      <w:numFmt w:val="bullet"/>
      <w:lvlText w:val=""/>
      <w:lvlJc w:val="left"/>
      <w:pPr>
        <w:tabs>
          <w:tab w:val="num" w:pos="2880"/>
        </w:tabs>
        <w:ind w:left="2880" w:hanging="360"/>
      </w:pPr>
      <w:rPr>
        <w:rFonts w:ascii="Wingdings" w:hAnsi="Wingdings" w:hint="default"/>
      </w:rPr>
    </w:lvl>
    <w:lvl w:ilvl="4" w:tplc="A2063EC6" w:tentative="1">
      <w:start w:val="1"/>
      <w:numFmt w:val="bullet"/>
      <w:lvlText w:val=""/>
      <w:lvlJc w:val="left"/>
      <w:pPr>
        <w:tabs>
          <w:tab w:val="num" w:pos="3600"/>
        </w:tabs>
        <w:ind w:left="3600" w:hanging="360"/>
      </w:pPr>
      <w:rPr>
        <w:rFonts w:ascii="Wingdings" w:hAnsi="Wingdings" w:hint="default"/>
      </w:rPr>
    </w:lvl>
    <w:lvl w:ilvl="5" w:tplc="84C4F8FC" w:tentative="1">
      <w:start w:val="1"/>
      <w:numFmt w:val="bullet"/>
      <w:lvlText w:val=""/>
      <w:lvlJc w:val="left"/>
      <w:pPr>
        <w:tabs>
          <w:tab w:val="num" w:pos="4320"/>
        </w:tabs>
        <w:ind w:left="4320" w:hanging="360"/>
      </w:pPr>
      <w:rPr>
        <w:rFonts w:ascii="Wingdings" w:hAnsi="Wingdings" w:hint="default"/>
      </w:rPr>
    </w:lvl>
    <w:lvl w:ilvl="6" w:tplc="85DA63D6" w:tentative="1">
      <w:start w:val="1"/>
      <w:numFmt w:val="bullet"/>
      <w:lvlText w:val=""/>
      <w:lvlJc w:val="left"/>
      <w:pPr>
        <w:tabs>
          <w:tab w:val="num" w:pos="5040"/>
        </w:tabs>
        <w:ind w:left="5040" w:hanging="360"/>
      </w:pPr>
      <w:rPr>
        <w:rFonts w:ascii="Wingdings" w:hAnsi="Wingdings" w:hint="default"/>
      </w:rPr>
    </w:lvl>
    <w:lvl w:ilvl="7" w:tplc="5EFEADD6" w:tentative="1">
      <w:start w:val="1"/>
      <w:numFmt w:val="bullet"/>
      <w:lvlText w:val=""/>
      <w:lvlJc w:val="left"/>
      <w:pPr>
        <w:tabs>
          <w:tab w:val="num" w:pos="5760"/>
        </w:tabs>
        <w:ind w:left="5760" w:hanging="360"/>
      </w:pPr>
      <w:rPr>
        <w:rFonts w:ascii="Wingdings" w:hAnsi="Wingdings" w:hint="default"/>
      </w:rPr>
    </w:lvl>
    <w:lvl w:ilvl="8" w:tplc="5DCCA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C2F2C"/>
    <w:multiLevelType w:val="multilevel"/>
    <w:tmpl w:val="CD1E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F0EE7"/>
    <w:multiLevelType w:val="hybridMultilevel"/>
    <w:tmpl w:val="4E322786"/>
    <w:lvl w:ilvl="0" w:tplc="ADBA5A0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C70EC1"/>
    <w:multiLevelType w:val="hybridMultilevel"/>
    <w:tmpl w:val="DAA4693E"/>
    <w:lvl w:ilvl="0" w:tplc="83D4F6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3B78A0"/>
    <w:multiLevelType w:val="hybridMultilevel"/>
    <w:tmpl w:val="BA70D698"/>
    <w:lvl w:ilvl="0" w:tplc="ADBA5A0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3522FD"/>
    <w:multiLevelType w:val="hybridMultilevel"/>
    <w:tmpl w:val="6D7A7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EA6F58"/>
    <w:multiLevelType w:val="hybridMultilevel"/>
    <w:tmpl w:val="C750FFDE"/>
    <w:lvl w:ilvl="0" w:tplc="ADBA5A0E">
      <w:start w:val="1"/>
      <w:numFmt w:val="bullet"/>
      <w:lvlText w:val=""/>
      <w:lvlJc w:val="left"/>
      <w:pPr>
        <w:tabs>
          <w:tab w:val="num" w:pos="720"/>
        </w:tabs>
        <w:ind w:left="720" w:hanging="360"/>
      </w:pPr>
      <w:rPr>
        <w:rFonts w:ascii="Wingdings" w:hAnsi="Wingdings" w:hint="default"/>
      </w:rPr>
    </w:lvl>
    <w:lvl w:ilvl="1" w:tplc="241A5794" w:tentative="1">
      <w:start w:val="1"/>
      <w:numFmt w:val="bullet"/>
      <w:lvlText w:val=""/>
      <w:lvlJc w:val="left"/>
      <w:pPr>
        <w:tabs>
          <w:tab w:val="num" w:pos="1440"/>
        </w:tabs>
        <w:ind w:left="1440" w:hanging="360"/>
      </w:pPr>
      <w:rPr>
        <w:rFonts w:ascii="Wingdings" w:hAnsi="Wingdings" w:hint="default"/>
      </w:rPr>
    </w:lvl>
    <w:lvl w:ilvl="2" w:tplc="1AD0E5A0" w:tentative="1">
      <w:start w:val="1"/>
      <w:numFmt w:val="bullet"/>
      <w:lvlText w:val=""/>
      <w:lvlJc w:val="left"/>
      <w:pPr>
        <w:tabs>
          <w:tab w:val="num" w:pos="2160"/>
        </w:tabs>
        <w:ind w:left="2160" w:hanging="360"/>
      </w:pPr>
      <w:rPr>
        <w:rFonts w:ascii="Wingdings" w:hAnsi="Wingdings" w:hint="default"/>
      </w:rPr>
    </w:lvl>
    <w:lvl w:ilvl="3" w:tplc="BD2A9C00" w:tentative="1">
      <w:start w:val="1"/>
      <w:numFmt w:val="bullet"/>
      <w:lvlText w:val=""/>
      <w:lvlJc w:val="left"/>
      <w:pPr>
        <w:tabs>
          <w:tab w:val="num" w:pos="2880"/>
        </w:tabs>
        <w:ind w:left="2880" w:hanging="360"/>
      </w:pPr>
      <w:rPr>
        <w:rFonts w:ascii="Wingdings" w:hAnsi="Wingdings" w:hint="default"/>
      </w:rPr>
    </w:lvl>
    <w:lvl w:ilvl="4" w:tplc="3BCA255A" w:tentative="1">
      <w:start w:val="1"/>
      <w:numFmt w:val="bullet"/>
      <w:lvlText w:val=""/>
      <w:lvlJc w:val="left"/>
      <w:pPr>
        <w:tabs>
          <w:tab w:val="num" w:pos="3600"/>
        </w:tabs>
        <w:ind w:left="3600" w:hanging="360"/>
      </w:pPr>
      <w:rPr>
        <w:rFonts w:ascii="Wingdings" w:hAnsi="Wingdings" w:hint="default"/>
      </w:rPr>
    </w:lvl>
    <w:lvl w:ilvl="5" w:tplc="6F8A7366" w:tentative="1">
      <w:start w:val="1"/>
      <w:numFmt w:val="bullet"/>
      <w:lvlText w:val=""/>
      <w:lvlJc w:val="left"/>
      <w:pPr>
        <w:tabs>
          <w:tab w:val="num" w:pos="4320"/>
        </w:tabs>
        <w:ind w:left="4320" w:hanging="360"/>
      </w:pPr>
      <w:rPr>
        <w:rFonts w:ascii="Wingdings" w:hAnsi="Wingdings" w:hint="default"/>
      </w:rPr>
    </w:lvl>
    <w:lvl w:ilvl="6" w:tplc="74F084BA" w:tentative="1">
      <w:start w:val="1"/>
      <w:numFmt w:val="bullet"/>
      <w:lvlText w:val=""/>
      <w:lvlJc w:val="left"/>
      <w:pPr>
        <w:tabs>
          <w:tab w:val="num" w:pos="5040"/>
        </w:tabs>
        <w:ind w:left="5040" w:hanging="360"/>
      </w:pPr>
      <w:rPr>
        <w:rFonts w:ascii="Wingdings" w:hAnsi="Wingdings" w:hint="default"/>
      </w:rPr>
    </w:lvl>
    <w:lvl w:ilvl="7" w:tplc="48A2F126" w:tentative="1">
      <w:start w:val="1"/>
      <w:numFmt w:val="bullet"/>
      <w:lvlText w:val=""/>
      <w:lvlJc w:val="left"/>
      <w:pPr>
        <w:tabs>
          <w:tab w:val="num" w:pos="5760"/>
        </w:tabs>
        <w:ind w:left="5760" w:hanging="360"/>
      </w:pPr>
      <w:rPr>
        <w:rFonts w:ascii="Wingdings" w:hAnsi="Wingdings" w:hint="default"/>
      </w:rPr>
    </w:lvl>
    <w:lvl w:ilvl="8" w:tplc="E640A2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8211A2"/>
    <w:multiLevelType w:val="hybridMultilevel"/>
    <w:tmpl w:val="55AAE6AE"/>
    <w:lvl w:ilvl="0" w:tplc="ADBA5A0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214651">
    <w:abstractNumId w:val="2"/>
  </w:num>
  <w:num w:numId="2" w16cid:durableId="1961260341">
    <w:abstractNumId w:val="6"/>
  </w:num>
  <w:num w:numId="3" w16cid:durableId="542400148">
    <w:abstractNumId w:val="7"/>
  </w:num>
  <w:num w:numId="4" w16cid:durableId="867716375">
    <w:abstractNumId w:val="1"/>
  </w:num>
  <w:num w:numId="5" w16cid:durableId="747309015">
    <w:abstractNumId w:val="8"/>
  </w:num>
  <w:num w:numId="6" w16cid:durableId="1133983398">
    <w:abstractNumId w:val="3"/>
  </w:num>
  <w:num w:numId="7" w16cid:durableId="1021274394">
    <w:abstractNumId w:val="0"/>
  </w:num>
  <w:num w:numId="8" w16cid:durableId="1342009752">
    <w:abstractNumId w:val="4"/>
  </w:num>
  <w:num w:numId="9" w16cid:durableId="201695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C3"/>
    <w:rsid w:val="00002FEC"/>
    <w:rsid w:val="00044DB5"/>
    <w:rsid w:val="00073EC3"/>
    <w:rsid w:val="000C1191"/>
    <w:rsid w:val="00107DD3"/>
    <w:rsid w:val="00117062"/>
    <w:rsid w:val="001442AD"/>
    <w:rsid w:val="00156143"/>
    <w:rsid w:val="0016437E"/>
    <w:rsid w:val="001848DF"/>
    <w:rsid w:val="001B4565"/>
    <w:rsid w:val="002219D9"/>
    <w:rsid w:val="00233D62"/>
    <w:rsid w:val="00242044"/>
    <w:rsid w:val="00256B4F"/>
    <w:rsid w:val="00265158"/>
    <w:rsid w:val="00287D75"/>
    <w:rsid w:val="002B1C01"/>
    <w:rsid w:val="002E2562"/>
    <w:rsid w:val="00316DA3"/>
    <w:rsid w:val="00322064"/>
    <w:rsid w:val="00395DB2"/>
    <w:rsid w:val="003A3142"/>
    <w:rsid w:val="003C7A52"/>
    <w:rsid w:val="003D6339"/>
    <w:rsid w:val="003F17BE"/>
    <w:rsid w:val="00425926"/>
    <w:rsid w:val="00495504"/>
    <w:rsid w:val="004B738F"/>
    <w:rsid w:val="004F0648"/>
    <w:rsid w:val="00506EAB"/>
    <w:rsid w:val="00552BAE"/>
    <w:rsid w:val="00557650"/>
    <w:rsid w:val="005D2292"/>
    <w:rsid w:val="006374F7"/>
    <w:rsid w:val="006749B0"/>
    <w:rsid w:val="006C7C35"/>
    <w:rsid w:val="00713723"/>
    <w:rsid w:val="00724C4D"/>
    <w:rsid w:val="00735C89"/>
    <w:rsid w:val="007410A7"/>
    <w:rsid w:val="007B5BCB"/>
    <w:rsid w:val="007E42EF"/>
    <w:rsid w:val="007F4A0C"/>
    <w:rsid w:val="008F3562"/>
    <w:rsid w:val="00917382"/>
    <w:rsid w:val="00963C30"/>
    <w:rsid w:val="009B7290"/>
    <w:rsid w:val="009F3D65"/>
    <w:rsid w:val="00A21388"/>
    <w:rsid w:val="00A55F53"/>
    <w:rsid w:val="00AA7FBC"/>
    <w:rsid w:val="00AB4727"/>
    <w:rsid w:val="00AC639B"/>
    <w:rsid w:val="00AE3790"/>
    <w:rsid w:val="00AF0E9F"/>
    <w:rsid w:val="00B10358"/>
    <w:rsid w:val="00BA756C"/>
    <w:rsid w:val="00BE4449"/>
    <w:rsid w:val="00C1008C"/>
    <w:rsid w:val="00C90B7F"/>
    <w:rsid w:val="00CD0466"/>
    <w:rsid w:val="00D13DE2"/>
    <w:rsid w:val="00D8204E"/>
    <w:rsid w:val="00D85125"/>
    <w:rsid w:val="00DC3FFB"/>
    <w:rsid w:val="00DC7003"/>
    <w:rsid w:val="00DD0D2C"/>
    <w:rsid w:val="00E02924"/>
    <w:rsid w:val="00E60056"/>
    <w:rsid w:val="00EE4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ADC8"/>
  <w15:chartTrackingRefBased/>
  <w15:docId w15:val="{201C0F87-04B5-4685-861A-92FC6629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03"/>
  </w:style>
  <w:style w:type="paragraph" w:styleId="Heading1">
    <w:name w:val="heading 1"/>
    <w:basedOn w:val="Normal"/>
    <w:next w:val="Normal"/>
    <w:link w:val="Heading1Char"/>
    <w:uiPriority w:val="9"/>
    <w:qFormat/>
    <w:rsid w:val="0007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3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3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3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C3"/>
    <w:rPr>
      <w:rFonts w:eastAsiaTheme="majorEastAsia" w:cstheme="majorBidi"/>
      <w:color w:val="272727" w:themeColor="text1" w:themeTint="D8"/>
    </w:rPr>
  </w:style>
  <w:style w:type="paragraph" w:styleId="Title">
    <w:name w:val="Title"/>
    <w:basedOn w:val="Normal"/>
    <w:next w:val="Normal"/>
    <w:link w:val="TitleChar"/>
    <w:uiPriority w:val="10"/>
    <w:qFormat/>
    <w:rsid w:val="0007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C3"/>
    <w:pPr>
      <w:spacing w:before="160"/>
      <w:jc w:val="center"/>
    </w:pPr>
    <w:rPr>
      <w:i/>
      <w:iCs/>
      <w:color w:val="404040" w:themeColor="text1" w:themeTint="BF"/>
    </w:rPr>
  </w:style>
  <w:style w:type="character" w:customStyle="1" w:styleId="QuoteChar">
    <w:name w:val="Quote Char"/>
    <w:basedOn w:val="DefaultParagraphFont"/>
    <w:link w:val="Quote"/>
    <w:uiPriority w:val="29"/>
    <w:rsid w:val="00073EC3"/>
    <w:rPr>
      <w:i/>
      <w:iCs/>
      <w:color w:val="404040" w:themeColor="text1" w:themeTint="BF"/>
    </w:rPr>
  </w:style>
  <w:style w:type="paragraph" w:styleId="ListParagraph">
    <w:name w:val="List Paragraph"/>
    <w:basedOn w:val="Normal"/>
    <w:uiPriority w:val="34"/>
    <w:qFormat/>
    <w:rsid w:val="00EE4203"/>
    <w:pPr>
      <w:ind w:left="720"/>
      <w:contextualSpacing/>
    </w:pPr>
  </w:style>
  <w:style w:type="character" w:styleId="IntenseEmphasis">
    <w:name w:val="Intense Emphasis"/>
    <w:basedOn w:val="DefaultParagraphFont"/>
    <w:uiPriority w:val="21"/>
    <w:qFormat/>
    <w:rsid w:val="00073EC3"/>
    <w:rPr>
      <w:i/>
      <w:iCs/>
      <w:color w:val="0F4761" w:themeColor="accent1" w:themeShade="BF"/>
    </w:rPr>
  </w:style>
  <w:style w:type="paragraph" w:styleId="IntenseQuote">
    <w:name w:val="Intense Quote"/>
    <w:basedOn w:val="Normal"/>
    <w:next w:val="Normal"/>
    <w:link w:val="IntenseQuoteChar"/>
    <w:uiPriority w:val="30"/>
    <w:qFormat/>
    <w:rsid w:val="0007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EC3"/>
    <w:rPr>
      <w:i/>
      <w:iCs/>
      <w:color w:val="0F4761" w:themeColor="accent1" w:themeShade="BF"/>
    </w:rPr>
  </w:style>
  <w:style w:type="character" w:styleId="IntenseReference">
    <w:name w:val="Intense Reference"/>
    <w:basedOn w:val="DefaultParagraphFont"/>
    <w:uiPriority w:val="32"/>
    <w:qFormat/>
    <w:rsid w:val="00073EC3"/>
    <w:rPr>
      <w:b/>
      <w:bCs/>
      <w:smallCaps/>
      <w:color w:val="0F4761" w:themeColor="accent1" w:themeShade="BF"/>
      <w:spacing w:val="5"/>
    </w:rPr>
  </w:style>
  <w:style w:type="paragraph" w:styleId="NoSpacing">
    <w:name w:val="No Spacing"/>
    <w:uiPriority w:val="1"/>
    <w:qFormat/>
    <w:rsid w:val="00B10358"/>
    <w:pPr>
      <w:spacing w:after="0" w:line="240" w:lineRule="auto"/>
    </w:pPr>
  </w:style>
  <w:style w:type="paragraph" w:styleId="EndnoteText">
    <w:name w:val="endnote text"/>
    <w:basedOn w:val="Normal"/>
    <w:link w:val="EndnoteTextChar"/>
    <w:uiPriority w:val="99"/>
    <w:unhideWhenUsed/>
    <w:rsid w:val="009B7290"/>
    <w:pPr>
      <w:spacing w:after="0" w:line="240" w:lineRule="auto"/>
    </w:pPr>
    <w:rPr>
      <w:sz w:val="20"/>
      <w:szCs w:val="20"/>
    </w:rPr>
  </w:style>
  <w:style w:type="character" w:customStyle="1" w:styleId="EndnoteTextChar">
    <w:name w:val="Endnote Text Char"/>
    <w:basedOn w:val="DefaultParagraphFont"/>
    <w:link w:val="EndnoteText"/>
    <w:uiPriority w:val="99"/>
    <w:rsid w:val="009B7290"/>
    <w:rPr>
      <w:sz w:val="20"/>
      <w:szCs w:val="20"/>
    </w:rPr>
  </w:style>
  <w:style w:type="character" w:styleId="EndnoteReference">
    <w:name w:val="endnote reference"/>
    <w:basedOn w:val="DefaultParagraphFont"/>
    <w:uiPriority w:val="99"/>
    <w:semiHidden/>
    <w:unhideWhenUsed/>
    <w:rsid w:val="009B7290"/>
    <w:rPr>
      <w:vertAlign w:val="superscript"/>
    </w:rPr>
  </w:style>
  <w:style w:type="character" w:styleId="Hyperlink">
    <w:name w:val="Hyperlink"/>
    <w:basedOn w:val="DefaultParagraphFont"/>
    <w:uiPriority w:val="99"/>
    <w:unhideWhenUsed/>
    <w:rsid w:val="009B7290"/>
    <w:rPr>
      <w:color w:val="467886" w:themeColor="hyperlink"/>
      <w:u w:val="single"/>
    </w:rPr>
  </w:style>
  <w:style w:type="character" w:styleId="UnresolvedMention">
    <w:name w:val="Unresolved Mention"/>
    <w:basedOn w:val="DefaultParagraphFont"/>
    <w:uiPriority w:val="99"/>
    <w:semiHidden/>
    <w:unhideWhenUsed/>
    <w:rsid w:val="009B7290"/>
    <w:rPr>
      <w:color w:val="605E5C"/>
      <w:shd w:val="clear" w:color="auto" w:fill="E1DFDD"/>
    </w:rPr>
  </w:style>
  <w:style w:type="character" w:styleId="CommentReference">
    <w:name w:val="annotation reference"/>
    <w:basedOn w:val="DefaultParagraphFont"/>
    <w:uiPriority w:val="99"/>
    <w:semiHidden/>
    <w:unhideWhenUsed/>
    <w:rsid w:val="007F4A0C"/>
    <w:rPr>
      <w:sz w:val="16"/>
      <w:szCs w:val="16"/>
    </w:rPr>
  </w:style>
  <w:style w:type="paragraph" w:styleId="CommentText">
    <w:name w:val="annotation text"/>
    <w:basedOn w:val="Normal"/>
    <w:link w:val="CommentTextChar"/>
    <w:uiPriority w:val="99"/>
    <w:unhideWhenUsed/>
    <w:rsid w:val="007F4A0C"/>
    <w:pPr>
      <w:spacing w:line="240" w:lineRule="auto"/>
    </w:pPr>
    <w:rPr>
      <w:sz w:val="20"/>
      <w:szCs w:val="20"/>
    </w:rPr>
  </w:style>
  <w:style w:type="character" w:customStyle="1" w:styleId="CommentTextChar">
    <w:name w:val="Comment Text Char"/>
    <w:basedOn w:val="DefaultParagraphFont"/>
    <w:link w:val="CommentText"/>
    <w:uiPriority w:val="99"/>
    <w:rsid w:val="007F4A0C"/>
    <w:rPr>
      <w:sz w:val="20"/>
      <w:szCs w:val="20"/>
    </w:rPr>
  </w:style>
  <w:style w:type="paragraph" w:styleId="CommentSubject">
    <w:name w:val="annotation subject"/>
    <w:basedOn w:val="CommentText"/>
    <w:next w:val="CommentText"/>
    <w:link w:val="CommentSubjectChar"/>
    <w:uiPriority w:val="99"/>
    <w:semiHidden/>
    <w:unhideWhenUsed/>
    <w:rsid w:val="007F4A0C"/>
    <w:rPr>
      <w:b/>
      <w:bCs/>
    </w:rPr>
  </w:style>
  <w:style w:type="character" w:customStyle="1" w:styleId="CommentSubjectChar">
    <w:name w:val="Comment Subject Char"/>
    <w:basedOn w:val="CommentTextChar"/>
    <w:link w:val="CommentSubject"/>
    <w:uiPriority w:val="99"/>
    <w:semiHidden/>
    <w:rsid w:val="007F4A0C"/>
    <w:rPr>
      <w:b/>
      <w:bCs/>
      <w:sz w:val="20"/>
      <w:szCs w:val="20"/>
    </w:rPr>
  </w:style>
  <w:style w:type="paragraph" w:styleId="Header">
    <w:name w:val="header"/>
    <w:basedOn w:val="Normal"/>
    <w:link w:val="HeaderChar"/>
    <w:uiPriority w:val="99"/>
    <w:unhideWhenUsed/>
    <w:rsid w:val="003F1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BE"/>
  </w:style>
  <w:style w:type="paragraph" w:styleId="Footer">
    <w:name w:val="footer"/>
    <w:basedOn w:val="Normal"/>
    <w:link w:val="FooterChar"/>
    <w:uiPriority w:val="99"/>
    <w:unhideWhenUsed/>
    <w:rsid w:val="003F1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ca.org.au/research/neurodiversity-data-at-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a.org.au/research/neurodiversity-data-at-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doi.org/10.1093/bmb/ldaa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4eea0cc808ef0af004aeb0f8d3ada921">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375a5b1b2479e802ed683b1ef13e08e"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0945-0E05-4A3D-9753-C40FEA9EF32A}">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customXml/itemProps2.xml><?xml version="1.0" encoding="utf-8"?>
<ds:datastoreItem xmlns:ds="http://schemas.openxmlformats.org/officeDocument/2006/customXml" ds:itemID="{5FA1892A-B54B-477D-B154-72E675AF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587AA-46B9-425A-86EF-6180BE87E1A0}">
  <ds:schemaRefs>
    <ds:schemaRef ds:uri="http://schemas.microsoft.com/sharepoint/v3/contenttype/forms"/>
  </ds:schemaRefs>
</ds:datastoreItem>
</file>

<file path=customXml/itemProps4.xml><?xml version="1.0" encoding="utf-8"?>
<ds:datastoreItem xmlns:ds="http://schemas.openxmlformats.org/officeDocument/2006/customXml" ds:itemID="{4C20CD47-4FB3-4952-8B7D-9AC90AAF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676</Words>
  <Characters>4071</Characters>
  <Application>Microsoft Office Word</Application>
  <DocSecurity>0</DocSecurity>
  <Lines>74</Lines>
  <Paragraphs>48</Paragraphs>
  <ScaleCrop>false</ScaleCrop>
  <Company/>
  <LinksUpToDate>false</LinksUpToDate>
  <CharactersWithSpaces>4699</CharactersWithSpaces>
  <SharedDoc>false</SharedDoc>
  <HLinks>
    <vt:vector size="6" baseType="variant">
      <vt:variant>
        <vt:i4>4063351</vt:i4>
      </vt:variant>
      <vt:variant>
        <vt:i4>0</vt:i4>
      </vt:variant>
      <vt:variant>
        <vt:i4>0</vt:i4>
      </vt:variant>
      <vt:variant>
        <vt:i4>5</vt:i4>
      </vt:variant>
      <vt:variant>
        <vt:lpwstr>http://doi.org/10.1093/bmb/ldaa021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Laffernis (she/her)</dc:creator>
  <cp:keywords/>
  <dc:description/>
  <cp:lastModifiedBy>Rose D’Almada-Remedios (she/her)</cp:lastModifiedBy>
  <cp:revision>45</cp:revision>
  <dcterms:created xsi:type="dcterms:W3CDTF">2026-03-02T19:23:00Z</dcterms:created>
  <dcterms:modified xsi:type="dcterms:W3CDTF">2026-03-13T03:44:00Z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y fmtid="{D5CDD505-2E9C-101B-9397-08002B2CF9AE}" pid="3" name="MediaServiceImageTags">
    <vt:lpwstr/>
  </property>
</Properties>
</file>